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0A2777">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922797" w:rsidRDefault="00922797">
      <w:pPr>
        <w:widowControl/>
        <w:jc w:val="center"/>
        <w:rPr>
          <w:rFonts w:asciiTheme="minorEastAsia" w:eastAsiaTheme="minorEastAsia" w:hAnsi="宋体"/>
          <w:color w:val="002060"/>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0A2777" w:rsidP="000A2777">
      <w:pPr>
        <w:widowControl/>
        <w:ind w:firstLineChars="445" w:firstLine="1966"/>
        <w:rPr>
          <w:rFonts w:ascii="楷体" w:eastAsia="楷体" w:hAnsi="楷体" w:cs="楷体"/>
          <w:b/>
          <w:sz w:val="44"/>
          <w:szCs w:val="44"/>
        </w:rPr>
        <w:sectPr w:rsidR="00922797">
          <w:pgSz w:w="11906" w:h="16838"/>
          <w:pgMar w:top="2098" w:right="1474" w:bottom="1985" w:left="1588" w:header="851" w:footer="992" w:gutter="0"/>
          <w:cols w:space="425"/>
          <w:docGrid w:type="lines" w:linePitch="312"/>
        </w:sectPr>
      </w:pPr>
      <w:r>
        <w:rPr>
          <w:rFonts w:hint="eastAsia"/>
          <w:b/>
          <w:sz w:val="44"/>
          <w:szCs w:val="44"/>
        </w:rPr>
        <w:t>霸州</w:t>
      </w:r>
      <w:r>
        <w:rPr>
          <w:b/>
          <w:sz w:val="44"/>
          <w:szCs w:val="44"/>
        </w:rPr>
        <w:t>市</w:t>
      </w:r>
      <w:r>
        <w:rPr>
          <w:rFonts w:hint="eastAsia"/>
          <w:b/>
          <w:sz w:val="44"/>
          <w:szCs w:val="44"/>
        </w:rPr>
        <w:t>王庄子乡人民政府</w:t>
      </w:r>
    </w:p>
    <w:p w:rsidR="00922797" w:rsidRDefault="000A2777" w:rsidP="000A2777">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    录</w:t>
      </w:r>
    </w:p>
    <w:p w:rsidR="00922797" w:rsidRDefault="00922797">
      <w:pPr>
        <w:widowControl/>
        <w:spacing w:line="580" w:lineRule="exact"/>
        <w:ind w:firstLineChars="200" w:firstLine="640"/>
        <w:rPr>
          <w:rFonts w:eastAsia="黑体"/>
          <w:sz w:val="32"/>
          <w:szCs w:val="32"/>
        </w:rPr>
      </w:pPr>
    </w:p>
    <w:p w:rsidR="00922797" w:rsidRDefault="000A2777">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922797" w:rsidRDefault="000A2777" w:rsidP="000A2777">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922797" w:rsidRDefault="000A2777" w:rsidP="000A2777">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922797" w:rsidRDefault="000A277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二、收入决算表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三、支出决算表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922797" w:rsidRDefault="00922797">
      <w:pPr>
        <w:widowControl/>
        <w:spacing w:line="580" w:lineRule="exact"/>
        <w:ind w:firstLineChars="200" w:firstLine="640"/>
        <w:rPr>
          <w:rFonts w:eastAsia="黑体"/>
          <w:sz w:val="32"/>
          <w:szCs w:val="32"/>
        </w:rPr>
      </w:pPr>
    </w:p>
    <w:p w:rsidR="00922797" w:rsidRDefault="000A2777">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霸州市王庄子乡人民政府</w:t>
      </w:r>
      <w:r>
        <w:rPr>
          <w:rFonts w:eastAsia="黑体"/>
          <w:sz w:val="32"/>
          <w:szCs w:val="32"/>
        </w:rPr>
        <w:t>201</w:t>
      </w:r>
      <w:r>
        <w:rPr>
          <w:rFonts w:eastAsia="黑体" w:hint="eastAsia"/>
          <w:sz w:val="32"/>
          <w:szCs w:val="32"/>
        </w:rPr>
        <w:t>8</w:t>
      </w:r>
      <w:r>
        <w:rPr>
          <w:rFonts w:eastAsia="黑体"/>
          <w:sz w:val="32"/>
          <w:szCs w:val="32"/>
        </w:rPr>
        <w:t>年部门决算情况说明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922797" w:rsidRDefault="000A2777">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名词解释</w:t>
      </w:r>
    </w:p>
    <w:p w:rsidR="00922797" w:rsidRDefault="00922797">
      <w:pPr>
        <w:widowControl/>
        <w:spacing w:line="580" w:lineRule="exact"/>
        <w:ind w:firstLineChars="200" w:firstLine="640"/>
        <w:rPr>
          <w:rFonts w:eastAsia="黑体"/>
          <w:sz w:val="32"/>
          <w:szCs w:val="32"/>
        </w:rPr>
      </w:pPr>
    </w:p>
    <w:p w:rsidR="00922797" w:rsidRDefault="00922797">
      <w:pPr>
        <w:widowControl/>
        <w:spacing w:line="580" w:lineRule="exact"/>
        <w:ind w:firstLineChars="200" w:firstLine="640"/>
        <w:rPr>
          <w:rFonts w:eastAsia="黑体"/>
          <w:sz w:val="32"/>
          <w:szCs w:val="32"/>
        </w:rPr>
      </w:pPr>
    </w:p>
    <w:p w:rsidR="00922797" w:rsidRDefault="00922797">
      <w:pPr>
        <w:widowControl/>
        <w:spacing w:line="580" w:lineRule="exact"/>
        <w:ind w:firstLineChars="200" w:firstLine="640"/>
        <w:rPr>
          <w:rFonts w:eastAsia="黑体"/>
          <w:sz w:val="32"/>
          <w:szCs w:val="32"/>
        </w:rPr>
      </w:pPr>
    </w:p>
    <w:p w:rsidR="00922797" w:rsidRDefault="00922797">
      <w:pPr>
        <w:widowControl/>
        <w:spacing w:line="580" w:lineRule="exact"/>
        <w:ind w:firstLineChars="200" w:firstLine="640"/>
        <w:rPr>
          <w:rFonts w:eastAsia="黑体"/>
          <w:sz w:val="32"/>
          <w:szCs w:val="32"/>
        </w:rPr>
      </w:pPr>
    </w:p>
    <w:p w:rsidR="00922797" w:rsidRDefault="000A2777">
      <w:r>
        <w:br w:type="page"/>
      </w:r>
    </w:p>
    <w:p w:rsidR="00922797" w:rsidRDefault="00922797"/>
    <w:p w:rsidR="00922797" w:rsidRDefault="00922797"/>
    <w:p w:rsidR="00922797" w:rsidRDefault="00922797"/>
    <w:p w:rsidR="00922797" w:rsidRDefault="00922797"/>
    <w:p w:rsidR="00922797" w:rsidRDefault="00922797"/>
    <w:p w:rsidR="00922797" w:rsidRDefault="00922797"/>
    <w:p w:rsidR="00922797" w:rsidRDefault="000A2777">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922797" w:rsidRDefault="00922797"/>
    <w:p w:rsidR="00922797" w:rsidRDefault="00922797"/>
    <w:p w:rsidR="00922797" w:rsidRDefault="00922797"/>
    <w:p w:rsidR="00922797" w:rsidRDefault="00922797"/>
    <w:p w:rsidR="00922797" w:rsidRDefault="00922797"/>
    <w:p w:rsidR="00922797" w:rsidRDefault="00922797"/>
    <w:p w:rsidR="00922797" w:rsidRDefault="00922797"/>
    <w:p w:rsidR="00922797" w:rsidRDefault="00922797"/>
    <w:p w:rsidR="00922797" w:rsidRDefault="000A2777">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乡党委、政府处于领导农业和农村工作的第一线，承担着建设会主义新农村的光荣使命。</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w:t>
      </w:r>
      <w:proofErr w:type="gramStart"/>
      <w:r w:rsidRPr="0018305D">
        <w:rPr>
          <w:rFonts w:ascii="仿宋_GB2312" w:eastAsia="仿宋_GB2312" w:hAnsi="仿宋" w:hint="eastAsia"/>
          <w:sz w:val="32"/>
          <w:szCs w:val="32"/>
        </w:rPr>
        <w:t>览</w:t>
      </w:r>
      <w:proofErr w:type="gramEnd"/>
      <w:r w:rsidRPr="0018305D">
        <w:rPr>
          <w:rFonts w:ascii="仿宋_GB2312" w:eastAsia="仿宋_GB2312" w:hAnsi="仿宋" w:hint="eastAsia"/>
          <w:sz w:val="32"/>
          <w:szCs w:val="32"/>
        </w:rPr>
        <w:t>全局、协调各方的领导核心作用。</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 xml:space="preserve"> 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w:t>
      </w:r>
      <w:r w:rsidRPr="0018305D">
        <w:rPr>
          <w:rFonts w:ascii="仿宋_GB2312" w:eastAsia="仿宋_GB2312" w:hAnsi="仿宋" w:hint="eastAsia"/>
          <w:sz w:val="32"/>
          <w:szCs w:val="32"/>
        </w:rPr>
        <w:lastRenderedPageBreak/>
        <w:t>加农民收入，减轻财政和农民负担。强化协调职能，使事业所站以及基层工商、税务等机构，能够围绕乡党委、乡政府工作“一盘棋”互相配合。同时，规范乡政府和村级组织的工作职能作用。</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w:t>
      </w:r>
      <w:r w:rsidRPr="0018305D">
        <w:rPr>
          <w:rFonts w:ascii="仿宋_GB2312" w:eastAsia="仿宋_GB2312" w:hAnsi="仿宋" w:hint="eastAsia"/>
          <w:sz w:val="32"/>
          <w:szCs w:val="32"/>
        </w:rPr>
        <w:lastRenderedPageBreak/>
        <w:t>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通过乡镇机构改革，切实减轻农民负担，让广大农民感到满意，得到实惠。</w:t>
      </w:r>
    </w:p>
    <w:p w:rsidR="00922797" w:rsidRDefault="000A2777">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922797" w:rsidRDefault="000A2777">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922797">
        <w:trPr>
          <w:trHeight w:val="811"/>
          <w:jc w:val="center"/>
        </w:trPr>
        <w:tc>
          <w:tcPr>
            <w:tcW w:w="98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922797">
        <w:trPr>
          <w:trHeight w:val="596"/>
          <w:jc w:val="center"/>
        </w:trPr>
        <w:tc>
          <w:tcPr>
            <w:tcW w:w="985" w:type="dxa"/>
          </w:tcPr>
          <w:p w:rsidR="00922797" w:rsidRDefault="000A277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922797" w:rsidRDefault="000A2777">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霸州市王庄子乡人民政府(本级)</w:t>
            </w:r>
          </w:p>
        </w:tc>
        <w:tc>
          <w:tcPr>
            <w:tcW w:w="2445" w:type="dxa"/>
          </w:tcPr>
          <w:p w:rsidR="00922797" w:rsidRPr="000A2777" w:rsidRDefault="000A277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922797" w:rsidRDefault="000A277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bl>
    <w:p w:rsidR="00922797" w:rsidRDefault="00922797">
      <w:pPr>
        <w:widowControl/>
        <w:spacing w:line="560" w:lineRule="exact"/>
        <w:jc w:val="center"/>
        <w:rPr>
          <w:rFonts w:ascii="黑体" w:eastAsia="黑体" w:hAnsiTheme="minorHAnsi" w:cs="MS-UIGothic,Bold"/>
          <w:bCs/>
          <w:kern w:val="0"/>
          <w:sz w:val="52"/>
          <w:szCs w:val="52"/>
        </w:rPr>
        <w:sectPr w:rsidR="00922797">
          <w:pgSz w:w="11906" w:h="16838"/>
          <w:pgMar w:top="2098" w:right="1474" w:bottom="1984" w:left="1588" w:header="851" w:footer="992" w:gutter="0"/>
          <w:cols w:space="0"/>
          <w:docGrid w:type="lines" w:linePitch="312"/>
        </w:sectPr>
      </w:pPr>
    </w:p>
    <w:p w:rsidR="00922797" w:rsidRDefault="00922797">
      <w:pPr>
        <w:widowControl/>
        <w:spacing w:line="1200" w:lineRule="exact"/>
        <w:jc w:val="center"/>
        <w:rPr>
          <w:rFonts w:asciiTheme="minorEastAsia" w:eastAsiaTheme="minorEastAsia" w:hAnsi="宋体"/>
          <w:color w:val="000000" w:themeColor="text1"/>
          <w:sz w:val="72"/>
          <w:szCs w:val="96"/>
        </w:rPr>
      </w:pPr>
    </w:p>
    <w:p w:rsidR="00922797" w:rsidRDefault="00922797">
      <w:pPr>
        <w:widowControl/>
        <w:spacing w:line="1200" w:lineRule="exact"/>
        <w:jc w:val="center"/>
        <w:rPr>
          <w:rFonts w:asciiTheme="minorEastAsia" w:eastAsiaTheme="minorEastAsia" w:hAnsi="宋体"/>
          <w:color w:val="000000" w:themeColor="text1"/>
          <w:sz w:val="72"/>
          <w:szCs w:val="96"/>
        </w:rPr>
      </w:pPr>
    </w:p>
    <w:p w:rsidR="00922797" w:rsidRDefault="00922797">
      <w:pPr>
        <w:widowControl/>
        <w:spacing w:line="1200" w:lineRule="exact"/>
        <w:jc w:val="center"/>
        <w:rPr>
          <w:rFonts w:asciiTheme="minorEastAsia" w:eastAsiaTheme="minorEastAsia" w:hAnsi="宋体"/>
          <w:color w:val="000000" w:themeColor="text1"/>
          <w:sz w:val="72"/>
          <w:szCs w:val="96"/>
        </w:rPr>
      </w:pPr>
    </w:p>
    <w:p w:rsidR="00922797" w:rsidRDefault="000A2777">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922797" w:rsidRDefault="000A2777">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922797" w:rsidRDefault="00922797">
      <w:pPr>
        <w:widowControl/>
        <w:spacing w:line="560" w:lineRule="exact"/>
        <w:jc w:val="center"/>
        <w:rPr>
          <w:rFonts w:ascii="黑体" w:eastAsia="黑体" w:hAnsiTheme="minorHAnsi" w:cs="MS-UIGothic,Bold"/>
          <w:bCs/>
          <w:kern w:val="0"/>
          <w:sz w:val="52"/>
          <w:szCs w:val="52"/>
        </w:rPr>
      </w:pPr>
    </w:p>
    <w:p w:rsidR="00922797" w:rsidRDefault="00922797">
      <w:pPr>
        <w:widowControl/>
        <w:spacing w:line="560" w:lineRule="exact"/>
        <w:jc w:val="center"/>
        <w:rPr>
          <w:rFonts w:ascii="黑体" w:eastAsia="黑体" w:hAnsiTheme="minorHAnsi" w:cs="MS-UIGothic,Bold"/>
          <w:bCs/>
          <w:kern w:val="0"/>
          <w:sz w:val="52"/>
          <w:szCs w:val="52"/>
        </w:rPr>
      </w:pPr>
    </w:p>
    <w:p w:rsidR="00922797" w:rsidRDefault="00922797">
      <w:pPr>
        <w:rPr>
          <w:rFonts w:ascii="宋体" w:hAnsi="宋体" w:cs="ArialUnicodeMS"/>
          <w:color w:val="000000"/>
          <w:kern w:val="0"/>
        </w:rPr>
      </w:pPr>
    </w:p>
    <w:p w:rsidR="00922797" w:rsidRDefault="00922797">
      <w:pPr>
        <w:rPr>
          <w:rFonts w:ascii="宋体" w:hAnsi="宋体" w:cs="ArialUnicodeMS"/>
          <w:color w:val="000000"/>
          <w:kern w:val="0"/>
        </w:rPr>
        <w:sectPr w:rsidR="00922797">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firstRow="1" w:lastRow="0" w:firstColumn="1" w:lastColumn="0" w:noHBand="0" w:noVBand="1"/>
      </w:tblPr>
      <w:tblGrid>
        <w:gridCol w:w="9300"/>
      </w:tblGrid>
      <w:tr w:rsidR="00922797">
        <w:trPr>
          <w:trHeight w:val="567"/>
          <w:jc w:val="center"/>
        </w:trPr>
        <w:tc>
          <w:tcPr>
            <w:tcW w:w="9300" w:type="dxa"/>
            <w:tcBorders>
              <w:top w:val="nil"/>
              <w:left w:val="nil"/>
              <w:bottom w:val="nil"/>
              <w:right w:val="nil"/>
            </w:tcBorders>
            <w:shd w:val="clear" w:color="auto" w:fill="auto"/>
            <w:tcMar>
              <w:top w:w="15" w:type="dxa"/>
              <w:left w:w="15" w:type="dxa"/>
              <w:right w:w="15" w:type="dxa"/>
            </w:tcMar>
            <w:vAlign w:val="center"/>
          </w:tcPr>
          <w:p w:rsidR="00922797" w:rsidRDefault="000A2777">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bl>
    <w:p w:rsidR="00922797" w:rsidRDefault="00562D93" w:rsidP="00562D93">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562D93">
        <w:rPr>
          <w:rFonts w:ascii="Calibri" w:hAnsi="Calibri"/>
          <w:noProof/>
          <w:szCs w:val="22"/>
        </w:rPr>
        <w:drawing>
          <wp:inline distT="0" distB="0" distL="0" distR="0" wp14:anchorId="234201F1" wp14:editId="36514F72">
            <wp:extent cx="5274310" cy="5748208"/>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748208"/>
                    </a:xfrm>
                    <a:prstGeom prst="rect">
                      <a:avLst/>
                    </a:prstGeom>
                    <a:noFill/>
                    <a:ln>
                      <a:noFill/>
                    </a:ln>
                  </pic:spPr>
                </pic:pic>
              </a:graphicData>
            </a:graphic>
          </wp:inline>
        </w:drawing>
      </w:r>
    </w:p>
    <w:tbl>
      <w:tblPr>
        <w:tblW w:w="8800" w:type="dxa"/>
        <w:jc w:val="center"/>
        <w:tblLayout w:type="fixed"/>
        <w:tblCellMar>
          <w:left w:w="0" w:type="dxa"/>
          <w:right w:w="0" w:type="dxa"/>
        </w:tblCellMar>
        <w:tblLook w:val="04A0" w:firstRow="1" w:lastRow="0" w:firstColumn="1" w:lastColumn="0" w:noHBand="0" w:noVBand="1"/>
      </w:tblPr>
      <w:tblGrid>
        <w:gridCol w:w="8800"/>
      </w:tblGrid>
      <w:tr w:rsidR="00922797">
        <w:trPr>
          <w:trHeight w:val="770"/>
          <w:jc w:val="center"/>
        </w:trPr>
        <w:tc>
          <w:tcPr>
            <w:tcW w:w="8800" w:type="dxa"/>
            <w:tcBorders>
              <w:top w:val="nil"/>
              <w:left w:val="nil"/>
              <w:bottom w:val="nil"/>
              <w:right w:val="nil"/>
            </w:tcBorders>
            <w:shd w:val="clear" w:color="auto" w:fill="auto"/>
            <w:noWrap/>
            <w:tcMar>
              <w:top w:w="15" w:type="dxa"/>
              <w:left w:w="15" w:type="dxa"/>
              <w:right w:w="15" w:type="dxa"/>
            </w:tcMar>
            <w:vAlign w:val="bottom"/>
          </w:tcPr>
          <w:p w:rsidR="00922797" w:rsidRDefault="000A2777">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bl>
    <w:p w:rsidR="00922797" w:rsidRDefault="00562D93" w:rsidP="00562D93">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562D93">
        <w:rPr>
          <w:rFonts w:ascii="Calibri" w:hAnsi="Calibri"/>
          <w:noProof/>
          <w:szCs w:val="22"/>
        </w:rPr>
        <w:drawing>
          <wp:inline distT="0" distB="0" distL="0" distR="0" wp14:anchorId="36FCA6AA" wp14:editId="15928BDF">
            <wp:extent cx="5629275" cy="7496175"/>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496175"/>
                    </a:xfrm>
                    <a:prstGeom prst="rect">
                      <a:avLst/>
                    </a:prstGeom>
                    <a:noFill/>
                    <a:ln>
                      <a:noFill/>
                    </a:ln>
                  </pic:spPr>
                </pic:pic>
              </a:graphicData>
            </a:graphic>
          </wp:inline>
        </w:drawing>
      </w:r>
    </w:p>
    <w:tbl>
      <w:tblPr>
        <w:tblW w:w="9000" w:type="dxa"/>
        <w:tblLayout w:type="fixed"/>
        <w:tblCellMar>
          <w:left w:w="0" w:type="dxa"/>
          <w:right w:w="0" w:type="dxa"/>
        </w:tblCellMar>
        <w:tblLook w:val="04A0" w:firstRow="1" w:lastRow="0" w:firstColumn="1" w:lastColumn="0" w:noHBand="0" w:noVBand="1"/>
      </w:tblPr>
      <w:tblGrid>
        <w:gridCol w:w="9000"/>
      </w:tblGrid>
      <w:tr w:rsidR="00922797">
        <w:trPr>
          <w:trHeight w:val="798"/>
        </w:trPr>
        <w:tc>
          <w:tcPr>
            <w:tcW w:w="9000" w:type="dxa"/>
            <w:tcBorders>
              <w:top w:val="nil"/>
              <w:left w:val="nil"/>
              <w:bottom w:val="nil"/>
              <w:right w:val="nil"/>
            </w:tcBorders>
            <w:shd w:val="clear" w:color="auto" w:fill="auto"/>
            <w:noWrap/>
            <w:tcMar>
              <w:top w:w="15" w:type="dxa"/>
              <w:left w:w="15" w:type="dxa"/>
              <w:right w:w="15" w:type="dxa"/>
            </w:tcMar>
            <w:vAlign w:val="center"/>
          </w:tcPr>
          <w:p w:rsidR="00922797" w:rsidRDefault="000A2777">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bl>
    <w:p w:rsidR="00922797" w:rsidRDefault="00A50A85" w:rsidP="00A50A85">
      <w:pPr>
        <w:widowControl/>
        <w:spacing w:after="0" w:line="240" w:lineRule="auto"/>
        <w:ind w:firstLineChars="200" w:firstLine="420"/>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A50A85">
        <w:rPr>
          <w:rFonts w:ascii="Calibri" w:hAnsi="Calibri"/>
          <w:noProof/>
          <w:szCs w:val="22"/>
        </w:rPr>
        <w:drawing>
          <wp:inline distT="0" distB="0" distL="0" distR="0" wp14:anchorId="4D2461FB" wp14:editId="07CFB453">
            <wp:extent cx="5275966" cy="729615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293860"/>
                    </a:xfrm>
                    <a:prstGeom prst="rect">
                      <a:avLst/>
                    </a:prstGeom>
                    <a:noFill/>
                    <a:ln>
                      <a:noFill/>
                    </a:ln>
                  </pic:spPr>
                </pic:pic>
              </a:graphicData>
            </a:graphic>
          </wp:inline>
        </w:drawing>
      </w:r>
    </w:p>
    <w:tbl>
      <w:tblPr>
        <w:tblW w:w="8940" w:type="dxa"/>
        <w:tblLayout w:type="fixed"/>
        <w:tblCellMar>
          <w:left w:w="0" w:type="dxa"/>
          <w:right w:w="0" w:type="dxa"/>
        </w:tblCellMar>
        <w:tblLook w:val="04A0" w:firstRow="1" w:lastRow="0" w:firstColumn="1" w:lastColumn="0" w:noHBand="0" w:noVBand="1"/>
      </w:tblPr>
      <w:tblGrid>
        <w:gridCol w:w="8940"/>
      </w:tblGrid>
      <w:tr w:rsidR="00922797">
        <w:trPr>
          <w:trHeight w:val="152"/>
        </w:trPr>
        <w:tc>
          <w:tcPr>
            <w:tcW w:w="8940" w:type="dxa"/>
            <w:tcBorders>
              <w:top w:val="nil"/>
              <w:left w:val="nil"/>
              <w:bottom w:val="nil"/>
              <w:right w:val="nil"/>
            </w:tcBorders>
            <w:shd w:val="clear" w:color="auto" w:fill="auto"/>
            <w:noWrap/>
            <w:tcMar>
              <w:top w:w="15" w:type="dxa"/>
              <w:left w:w="15" w:type="dxa"/>
              <w:right w:w="15" w:type="dxa"/>
            </w:tcMar>
            <w:vAlign w:val="center"/>
          </w:tcPr>
          <w:p w:rsidR="00922797" w:rsidRDefault="000A2777">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bl>
    <w:p w:rsidR="00922797" w:rsidRDefault="00A50A85"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A50A85">
        <w:rPr>
          <w:rFonts w:ascii="Calibri" w:hAnsi="Calibri"/>
          <w:noProof/>
          <w:szCs w:val="22"/>
        </w:rPr>
        <w:drawing>
          <wp:inline distT="0" distB="0" distL="0" distR="0" wp14:anchorId="35FF21D1" wp14:editId="17C11D14">
            <wp:extent cx="5267325" cy="651510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6523740"/>
                    </a:xfrm>
                    <a:prstGeom prst="rect">
                      <a:avLst/>
                    </a:prstGeom>
                    <a:noFill/>
                    <a:ln>
                      <a:noFill/>
                    </a:ln>
                  </pic:spPr>
                </pic:pic>
              </a:graphicData>
            </a:graphic>
          </wp:inline>
        </w:drawing>
      </w:r>
    </w:p>
    <w:tbl>
      <w:tblPr>
        <w:tblW w:w="8860" w:type="dxa"/>
        <w:tblLayout w:type="fixed"/>
        <w:tblCellMar>
          <w:left w:w="0" w:type="dxa"/>
          <w:right w:w="0" w:type="dxa"/>
        </w:tblCellMar>
        <w:tblLook w:val="04A0" w:firstRow="1" w:lastRow="0" w:firstColumn="1" w:lastColumn="0" w:noHBand="0" w:noVBand="1"/>
      </w:tblPr>
      <w:tblGrid>
        <w:gridCol w:w="8860"/>
      </w:tblGrid>
      <w:tr w:rsidR="00922797">
        <w:trPr>
          <w:trHeight w:val="600"/>
        </w:trPr>
        <w:tc>
          <w:tcPr>
            <w:tcW w:w="8860" w:type="dxa"/>
            <w:tcBorders>
              <w:top w:val="nil"/>
              <w:left w:val="nil"/>
              <w:bottom w:val="nil"/>
              <w:right w:val="nil"/>
            </w:tcBorders>
            <w:shd w:val="clear" w:color="auto" w:fill="auto"/>
            <w:noWrap/>
            <w:tcMar>
              <w:top w:w="15" w:type="dxa"/>
              <w:left w:w="15" w:type="dxa"/>
              <w:right w:w="15" w:type="dxa"/>
            </w:tcMar>
            <w:vAlign w:val="bottom"/>
          </w:tcPr>
          <w:p w:rsidR="00922797" w:rsidRDefault="000A2777">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bl>
    <w:p w:rsidR="00922797" w:rsidRDefault="00A50A85"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A50A85">
        <w:rPr>
          <w:rFonts w:ascii="Calibri" w:hAnsi="Calibri"/>
          <w:noProof/>
          <w:szCs w:val="22"/>
        </w:rPr>
        <w:drawing>
          <wp:inline distT="0" distB="0" distL="0" distR="0" wp14:anchorId="205F292B" wp14:editId="7DBB2524">
            <wp:extent cx="5274310" cy="7549237"/>
            <wp:effectExtent l="0" t="0" r="254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7549237"/>
                    </a:xfrm>
                    <a:prstGeom prst="rect">
                      <a:avLst/>
                    </a:prstGeom>
                    <a:noFill/>
                    <a:ln>
                      <a:noFill/>
                    </a:ln>
                  </pic:spPr>
                </pic:pic>
              </a:graphicData>
            </a:graphic>
          </wp:inline>
        </w:drawing>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922797">
        <w:trPr>
          <w:trHeight w:val="526"/>
          <w:jc w:val="center"/>
        </w:trPr>
        <w:tc>
          <w:tcPr>
            <w:tcW w:w="9180" w:type="dxa"/>
            <w:tcBorders>
              <w:top w:val="nil"/>
              <w:left w:val="nil"/>
              <w:bottom w:val="nil"/>
              <w:right w:val="nil"/>
            </w:tcBorders>
            <w:shd w:val="clear" w:color="auto" w:fill="auto"/>
            <w:tcMar>
              <w:top w:w="15" w:type="dxa"/>
              <w:left w:w="15" w:type="dxa"/>
              <w:right w:w="15" w:type="dxa"/>
            </w:tcMar>
            <w:vAlign w:val="center"/>
          </w:tcPr>
          <w:p w:rsidR="00922797" w:rsidRDefault="000A2777">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bl>
    <w:p w:rsidR="00922797" w:rsidRDefault="00A50A85"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A50A85">
        <w:rPr>
          <w:rFonts w:ascii="Calibri" w:hAnsi="Calibri"/>
          <w:noProof/>
          <w:szCs w:val="22"/>
        </w:rPr>
        <w:drawing>
          <wp:inline distT="0" distB="0" distL="0" distR="0" wp14:anchorId="51167AF1" wp14:editId="66774FAF">
            <wp:extent cx="5667375" cy="7400925"/>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4891" cy="7410739"/>
                    </a:xfrm>
                    <a:prstGeom prst="rect">
                      <a:avLst/>
                    </a:prstGeom>
                    <a:noFill/>
                    <a:ln>
                      <a:noFill/>
                    </a:ln>
                  </pic:spPr>
                </pic:pic>
              </a:graphicData>
            </a:graphic>
          </wp:inline>
        </w:drawing>
      </w:r>
    </w:p>
    <w:tbl>
      <w:tblPr>
        <w:tblW w:w="8800" w:type="dxa"/>
        <w:jc w:val="center"/>
        <w:tblLayout w:type="fixed"/>
        <w:tblCellMar>
          <w:left w:w="0" w:type="dxa"/>
          <w:right w:w="0" w:type="dxa"/>
        </w:tblCellMar>
        <w:tblLook w:val="04A0" w:firstRow="1" w:lastRow="0" w:firstColumn="1" w:lastColumn="0" w:noHBand="0" w:noVBand="1"/>
      </w:tblPr>
      <w:tblGrid>
        <w:gridCol w:w="8800"/>
      </w:tblGrid>
      <w:tr w:rsidR="00922797">
        <w:trPr>
          <w:trHeight w:val="584"/>
          <w:jc w:val="center"/>
        </w:trPr>
        <w:tc>
          <w:tcPr>
            <w:tcW w:w="8800" w:type="dxa"/>
            <w:tcBorders>
              <w:top w:val="nil"/>
              <w:left w:val="nil"/>
              <w:bottom w:val="nil"/>
              <w:right w:val="nil"/>
            </w:tcBorders>
            <w:shd w:val="clear" w:color="auto" w:fill="auto"/>
            <w:noWrap/>
            <w:tcMar>
              <w:top w:w="15" w:type="dxa"/>
              <w:left w:w="15" w:type="dxa"/>
              <w:right w:w="15" w:type="dxa"/>
            </w:tcMar>
            <w:vAlign w:val="center"/>
          </w:tcPr>
          <w:p w:rsidR="00922797" w:rsidRDefault="000A2777">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bl>
    <w:p w:rsidR="00922797" w:rsidRDefault="00A50A85"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A50A85">
        <w:rPr>
          <w:rFonts w:ascii="Calibri" w:hAnsi="Calibri"/>
          <w:noProof/>
          <w:szCs w:val="22"/>
        </w:rPr>
        <w:drawing>
          <wp:inline distT="0" distB="0" distL="0" distR="0" wp14:anchorId="11B75B24" wp14:editId="423033EB">
            <wp:extent cx="5543550" cy="1666875"/>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179" cy="1678190"/>
                    </a:xfrm>
                    <a:prstGeom prst="rect">
                      <a:avLst/>
                    </a:prstGeom>
                    <a:noFill/>
                    <a:ln>
                      <a:noFill/>
                    </a:ln>
                  </pic:spPr>
                </pic:pic>
              </a:graphicData>
            </a:graphic>
          </wp:inline>
        </w:drawing>
      </w:r>
    </w:p>
    <w:tbl>
      <w:tblPr>
        <w:tblW w:w="8800" w:type="dxa"/>
        <w:tblLayout w:type="fixed"/>
        <w:tblCellMar>
          <w:left w:w="0" w:type="dxa"/>
          <w:right w:w="0" w:type="dxa"/>
        </w:tblCellMar>
        <w:tblLook w:val="04A0" w:firstRow="1" w:lastRow="0" w:firstColumn="1" w:lastColumn="0" w:noHBand="0" w:noVBand="1"/>
      </w:tblPr>
      <w:tblGrid>
        <w:gridCol w:w="8800"/>
      </w:tblGrid>
      <w:tr w:rsidR="00922797" w:rsidTr="00C435CC">
        <w:trPr>
          <w:trHeight w:val="707"/>
        </w:trPr>
        <w:tc>
          <w:tcPr>
            <w:tcW w:w="8800" w:type="dxa"/>
            <w:tcBorders>
              <w:top w:val="nil"/>
              <w:left w:val="nil"/>
              <w:bottom w:val="nil"/>
              <w:right w:val="nil"/>
            </w:tcBorders>
            <w:shd w:val="clear" w:color="auto" w:fill="auto"/>
            <w:noWrap/>
            <w:tcMar>
              <w:top w:w="15" w:type="dxa"/>
              <w:left w:w="15" w:type="dxa"/>
              <w:right w:w="15" w:type="dxa"/>
            </w:tcMar>
            <w:vAlign w:val="center"/>
          </w:tcPr>
          <w:p w:rsidR="00922797" w:rsidRDefault="000A2777">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bl>
    <w:p w:rsidR="00922797" w:rsidRDefault="00C435CC" w:rsidP="00C435CC">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C435CC">
        <w:rPr>
          <w:rFonts w:ascii="Calibri" w:hAnsi="Calibri"/>
          <w:noProof/>
          <w:szCs w:val="22"/>
        </w:rPr>
        <w:drawing>
          <wp:inline distT="0" distB="0" distL="0" distR="0" wp14:anchorId="05087D4B" wp14:editId="31BB50F5">
            <wp:extent cx="5543550" cy="377190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1570" cy="3777357"/>
                    </a:xfrm>
                    <a:prstGeom prst="rect">
                      <a:avLst/>
                    </a:prstGeom>
                    <a:noFill/>
                    <a:ln>
                      <a:noFill/>
                    </a:ln>
                  </pic:spPr>
                </pic:pic>
              </a:graphicData>
            </a:graphic>
          </wp:inline>
        </w:drawing>
      </w:r>
    </w:p>
    <w:tbl>
      <w:tblPr>
        <w:tblW w:w="8800" w:type="dxa"/>
        <w:tblLayout w:type="fixed"/>
        <w:tblCellMar>
          <w:left w:w="0" w:type="dxa"/>
          <w:right w:w="0" w:type="dxa"/>
        </w:tblCellMar>
        <w:tblLook w:val="04A0" w:firstRow="1" w:lastRow="0" w:firstColumn="1" w:lastColumn="0" w:noHBand="0" w:noVBand="1"/>
      </w:tblPr>
      <w:tblGrid>
        <w:gridCol w:w="8800"/>
      </w:tblGrid>
      <w:tr w:rsidR="00922797">
        <w:trPr>
          <w:trHeight w:val="656"/>
        </w:trPr>
        <w:tc>
          <w:tcPr>
            <w:tcW w:w="8800" w:type="dxa"/>
            <w:tcBorders>
              <w:top w:val="nil"/>
              <w:left w:val="nil"/>
              <w:bottom w:val="nil"/>
              <w:right w:val="nil"/>
            </w:tcBorders>
            <w:shd w:val="clear" w:color="auto" w:fill="auto"/>
            <w:noWrap/>
            <w:tcMar>
              <w:top w:w="15" w:type="dxa"/>
              <w:left w:w="15" w:type="dxa"/>
              <w:right w:w="15" w:type="dxa"/>
            </w:tcMar>
            <w:vAlign w:val="center"/>
          </w:tcPr>
          <w:p w:rsidR="00922797" w:rsidRDefault="000A2777">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bl>
    <w:p w:rsidR="00922797" w:rsidRDefault="00C435CC" w:rsidP="00C435CC">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C435CC">
        <w:rPr>
          <w:rFonts w:ascii="Calibri" w:hAnsi="Calibri"/>
          <w:noProof/>
          <w:szCs w:val="22"/>
        </w:rPr>
        <w:drawing>
          <wp:inline distT="0" distB="0" distL="0" distR="0" wp14:anchorId="64050D57" wp14:editId="30DDA164">
            <wp:extent cx="5274310" cy="2206759"/>
            <wp:effectExtent l="0" t="0" r="2540" b="3175"/>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206759"/>
                    </a:xfrm>
                    <a:prstGeom prst="rect">
                      <a:avLst/>
                    </a:prstGeom>
                    <a:noFill/>
                    <a:ln>
                      <a:noFill/>
                    </a:ln>
                  </pic:spPr>
                </pic:pic>
              </a:graphicData>
            </a:graphic>
          </wp:inline>
        </w:drawing>
      </w:r>
    </w:p>
    <w:tbl>
      <w:tblPr>
        <w:tblW w:w="8940" w:type="dxa"/>
        <w:tblLayout w:type="fixed"/>
        <w:tblCellMar>
          <w:left w:w="0" w:type="dxa"/>
          <w:right w:w="0" w:type="dxa"/>
        </w:tblCellMar>
        <w:tblLook w:val="04A0" w:firstRow="1" w:lastRow="0" w:firstColumn="1" w:lastColumn="0" w:noHBand="0" w:noVBand="1"/>
      </w:tblPr>
      <w:tblGrid>
        <w:gridCol w:w="8940"/>
      </w:tblGrid>
      <w:tr w:rsidR="00922797">
        <w:trPr>
          <w:trHeight w:val="635"/>
        </w:trPr>
        <w:tc>
          <w:tcPr>
            <w:tcW w:w="8940" w:type="dxa"/>
            <w:tcBorders>
              <w:top w:val="nil"/>
              <w:left w:val="nil"/>
              <w:bottom w:val="nil"/>
              <w:right w:val="nil"/>
            </w:tcBorders>
            <w:shd w:val="clear" w:color="auto" w:fill="auto"/>
            <w:noWrap/>
            <w:tcMar>
              <w:top w:w="15" w:type="dxa"/>
              <w:left w:w="15" w:type="dxa"/>
              <w:right w:w="15" w:type="dxa"/>
            </w:tcMar>
            <w:vAlign w:val="center"/>
          </w:tcPr>
          <w:p w:rsidR="00922797" w:rsidRDefault="000A2777">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bl>
    <w:p w:rsidR="00922797" w:rsidRDefault="00C435CC" w:rsidP="00C435CC">
      <w:pPr>
        <w:widowControl/>
        <w:spacing w:after="0" w:line="240" w:lineRule="auto"/>
        <w:jc w:val="left"/>
        <w:rPr>
          <w:rFonts w:ascii="仿宋_GB2312" w:eastAsia="仿宋_GB2312" w:hAnsiTheme="majorEastAsia"/>
          <w:b/>
          <w:sz w:val="28"/>
          <w:szCs w:val="28"/>
          <w:highlight w:val="yellow"/>
        </w:rPr>
      </w:pPr>
      <w:r w:rsidRPr="00C435CC">
        <w:rPr>
          <w:rFonts w:ascii="Calibri" w:hAnsi="Calibri"/>
          <w:noProof/>
          <w:szCs w:val="22"/>
        </w:rPr>
        <w:drawing>
          <wp:inline distT="0" distB="0" distL="0" distR="0" wp14:anchorId="3183F299" wp14:editId="2DFE9506">
            <wp:extent cx="5276850" cy="3676650"/>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674880"/>
                    </a:xfrm>
                    <a:prstGeom prst="rect">
                      <a:avLst/>
                    </a:prstGeom>
                    <a:noFill/>
                    <a:ln>
                      <a:noFill/>
                    </a:ln>
                  </pic:spPr>
                </pic:pic>
              </a:graphicData>
            </a:graphic>
          </wp:inline>
        </w:drawing>
      </w:r>
    </w:p>
    <w:p w:rsidR="00922797" w:rsidRDefault="00922797"/>
    <w:p w:rsidR="00922797" w:rsidRDefault="00922797"/>
    <w:p w:rsidR="00922797" w:rsidRDefault="00922797"/>
    <w:p w:rsidR="00922797" w:rsidRDefault="00922797"/>
    <w:p w:rsidR="00922797" w:rsidRDefault="000A2777">
      <w:pPr>
        <w:tabs>
          <w:tab w:val="left" w:pos="1086"/>
        </w:tabs>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Pr>
          <w:rFonts w:hint="eastAsia"/>
        </w:rPr>
        <w:tab/>
      </w: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0A2777">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922797" w:rsidRDefault="000A2777">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922797" w:rsidRDefault="00922797">
      <w:pPr>
        <w:rPr>
          <w:rFonts w:ascii="宋体" w:hAnsi="宋体" w:cs="ArialUnicodeMS"/>
          <w:color w:val="000000"/>
          <w:kern w:val="0"/>
        </w:rPr>
        <w:sectPr w:rsidR="00922797">
          <w:pgSz w:w="11906" w:h="16838"/>
          <w:pgMar w:top="2098" w:right="1474" w:bottom="1984" w:left="1588" w:header="851" w:footer="992" w:gutter="0"/>
          <w:cols w:space="0"/>
          <w:docGrid w:type="lines" w:linePitch="312"/>
        </w:sectPr>
      </w:pP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w:t>
      </w:r>
      <w:r w:rsidR="005D2B5E">
        <w:rPr>
          <w:rFonts w:ascii="仿宋_GB2312" w:eastAsia="仿宋_GB2312" w:cs="DengXian-Regular" w:hint="eastAsia"/>
          <w:sz w:val="32"/>
          <w:szCs w:val="32"/>
        </w:rPr>
        <w:t>1797.26</w:t>
      </w:r>
      <w:r>
        <w:rPr>
          <w:rFonts w:ascii="仿宋_GB2312" w:eastAsia="仿宋_GB2312" w:cs="DengXian-Regular" w:hint="eastAsia"/>
          <w:sz w:val="32"/>
          <w:szCs w:val="32"/>
        </w:rPr>
        <w:t>万元。与2017年度决算相比，收支各增加</w:t>
      </w:r>
      <w:r w:rsidR="005D2B5E">
        <w:rPr>
          <w:rFonts w:ascii="仿宋_GB2312" w:eastAsia="仿宋_GB2312" w:cs="DengXian-Regular" w:hint="eastAsia"/>
          <w:sz w:val="32"/>
          <w:szCs w:val="32"/>
        </w:rPr>
        <w:t>430.15</w:t>
      </w:r>
      <w:r>
        <w:rPr>
          <w:rFonts w:ascii="仿宋_GB2312" w:eastAsia="仿宋_GB2312" w:cs="DengXian-Regular" w:hint="eastAsia"/>
          <w:sz w:val="32"/>
          <w:szCs w:val="32"/>
        </w:rPr>
        <w:t>万元，增长</w:t>
      </w:r>
      <w:r w:rsidR="005D2B5E">
        <w:rPr>
          <w:rFonts w:ascii="仿宋_GB2312" w:eastAsia="仿宋_GB2312" w:cs="DengXian-Regular" w:hint="eastAsia"/>
          <w:sz w:val="32"/>
          <w:szCs w:val="32"/>
        </w:rPr>
        <w:t>31.46</w:t>
      </w:r>
      <w:r>
        <w:rPr>
          <w:rFonts w:ascii="仿宋_GB2312" w:eastAsia="仿宋_GB2312" w:cs="DengXian-Regular" w:hint="eastAsia"/>
          <w:sz w:val="32"/>
          <w:szCs w:val="32"/>
        </w:rPr>
        <w:t>%，主要是</w:t>
      </w:r>
      <w:r w:rsidR="00C84F44">
        <w:rPr>
          <w:rFonts w:ascii="仿宋" w:eastAsia="仿宋" w:hAnsi="仿宋" w:hint="eastAsia"/>
          <w:sz w:val="32"/>
          <w:szCs w:val="32"/>
        </w:rPr>
        <w:t>转移支付项目及其他收支项目</w:t>
      </w:r>
      <w:r w:rsidR="00C84F44" w:rsidRPr="00743A81">
        <w:rPr>
          <w:rFonts w:ascii="仿宋" w:eastAsia="仿宋" w:hAnsi="仿宋" w:hint="eastAsia"/>
          <w:sz w:val="32"/>
          <w:szCs w:val="32"/>
        </w:rPr>
        <w:t>增加,如革命老区项目</w:t>
      </w:r>
      <w:r w:rsidR="00C84F44">
        <w:rPr>
          <w:rFonts w:ascii="仿宋" w:eastAsia="仿宋" w:hAnsi="仿宋" w:hint="eastAsia"/>
          <w:sz w:val="32"/>
          <w:szCs w:val="32"/>
        </w:rPr>
        <w:t>、</w:t>
      </w:r>
      <w:r w:rsidR="00243102">
        <w:rPr>
          <w:rFonts w:ascii="仿宋" w:eastAsia="仿宋" w:hAnsi="仿宋" w:hint="eastAsia"/>
          <w:sz w:val="32"/>
          <w:szCs w:val="32"/>
        </w:rPr>
        <w:t>撤乡设镇标准化建设、王</w:t>
      </w:r>
      <w:proofErr w:type="gramStart"/>
      <w:r w:rsidR="00243102">
        <w:rPr>
          <w:rFonts w:ascii="仿宋" w:eastAsia="仿宋" w:hAnsi="仿宋" w:hint="eastAsia"/>
          <w:sz w:val="32"/>
          <w:szCs w:val="32"/>
        </w:rPr>
        <w:t>圪</w:t>
      </w:r>
      <w:proofErr w:type="gramEnd"/>
      <w:r w:rsidR="00243102">
        <w:rPr>
          <w:rFonts w:ascii="仿宋" w:eastAsia="仿宋" w:hAnsi="仿宋" w:hint="eastAsia"/>
          <w:sz w:val="32"/>
          <w:szCs w:val="32"/>
        </w:rPr>
        <w:t>垯生活污水处理站后期费用、乡镇规划设计费用</w:t>
      </w:r>
      <w:r w:rsidR="00C84F44" w:rsidRPr="00743A81">
        <w:rPr>
          <w:rFonts w:ascii="仿宋" w:eastAsia="仿宋" w:hAnsi="仿宋" w:hint="eastAsia"/>
          <w:sz w:val="32"/>
          <w:szCs w:val="32"/>
        </w:rPr>
        <w:t>等</w:t>
      </w:r>
      <w:r w:rsidR="00C84F44" w:rsidRPr="00743A81">
        <w:rPr>
          <w:rFonts w:ascii="仿宋" w:eastAsia="仿宋" w:hAnsi="仿宋"/>
          <w:sz w:val="32"/>
        </w:rPr>
        <w:t>。</w:t>
      </w: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C84F44">
        <w:rPr>
          <w:rFonts w:ascii="仿宋_GB2312" w:eastAsia="仿宋_GB2312" w:cs="DengXian-Regular" w:hint="eastAsia"/>
          <w:sz w:val="32"/>
          <w:szCs w:val="32"/>
        </w:rPr>
        <w:t>1765.52</w:t>
      </w:r>
      <w:r>
        <w:rPr>
          <w:rFonts w:ascii="仿宋_GB2312" w:eastAsia="仿宋_GB2312" w:cs="DengXian-Regular" w:hint="eastAsia"/>
          <w:sz w:val="32"/>
          <w:szCs w:val="32"/>
        </w:rPr>
        <w:t>万元，其中：财政拨款收入</w:t>
      </w:r>
      <w:r w:rsidR="00C84F44">
        <w:rPr>
          <w:rFonts w:ascii="仿宋_GB2312" w:eastAsia="仿宋_GB2312" w:cs="DengXian-Regular" w:hint="eastAsia"/>
          <w:sz w:val="32"/>
          <w:szCs w:val="32"/>
        </w:rPr>
        <w:t>1765.52</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100</w:t>
      </w:r>
      <w:r>
        <w:rPr>
          <w:rFonts w:ascii="仿宋_GB2312" w:eastAsia="仿宋_GB2312" w:cs="DengXian-Regular" w:hint="eastAsia"/>
          <w:sz w:val="32"/>
          <w:szCs w:val="32"/>
        </w:rPr>
        <w:t>%；事业收入</w:t>
      </w:r>
      <w:r w:rsidR="00C84F44">
        <w:rPr>
          <w:rFonts w:ascii="仿宋_GB2312" w:eastAsia="仿宋_GB2312" w:cs="DengXian-Regular" w:hint="eastAsia"/>
          <w:sz w:val="32"/>
          <w:szCs w:val="32"/>
        </w:rPr>
        <w:t>0</w:t>
      </w:r>
      <w:r>
        <w:rPr>
          <w:rFonts w:ascii="仿宋_GB2312" w:eastAsia="仿宋_GB2312" w:cs="DengXian-Regular" w:hint="eastAsia"/>
          <w:sz w:val="32"/>
          <w:szCs w:val="32"/>
        </w:rPr>
        <w:t>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%；经营收入</w:t>
      </w:r>
      <w:r w:rsidR="00C84F44">
        <w:rPr>
          <w:rFonts w:ascii="仿宋_GB2312" w:eastAsia="仿宋_GB2312" w:cs="DengXian-Regular" w:hint="eastAsia"/>
          <w:sz w:val="32"/>
          <w:szCs w:val="32"/>
        </w:rPr>
        <w:t>0</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%；其他收入</w:t>
      </w:r>
      <w:r w:rsidR="00C84F44">
        <w:rPr>
          <w:rFonts w:ascii="仿宋_GB2312" w:eastAsia="仿宋_GB2312" w:cs="DengXian-Regular" w:hint="eastAsia"/>
          <w:sz w:val="32"/>
          <w:szCs w:val="32"/>
        </w:rPr>
        <w:t>0</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922797">
        <w:trPr>
          <w:trHeight w:val="286"/>
        </w:trPr>
        <w:tc>
          <w:tcPr>
            <w:tcW w:w="8874" w:type="dxa"/>
            <w:gridSpan w:val="5"/>
            <w:shd w:val="clear" w:color="auto" w:fill="auto"/>
            <w:vAlign w:val="center"/>
          </w:tcPr>
          <w:p w:rsidR="00922797" w:rsidRDefault="000A2777">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表1：收入决算结构</w:t>
            </w:r>
          </w:p>
        </w:tc>
      </w:tr>
      <w:tr w:rsidR="0092279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92279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1765.52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r w:rsidR="0092279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bl>
    <w:p w:rsidR="00922797" w:rsidRDefault="00922797"/>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C84F44">
        <w:rPr>
          <w:rFonts w:ascii="仿宋_GB2312" w:eastAsia="仿宋_GB2312" w:cs="DengXian-Regular" w:hint="eastAsia"/>
          <w:sz w:val="32"/>
          <w:szCs w:val="32"/>
        </w:rPr>
        <w:t>1779.64</w:t>
      </w:r>
      <w:r>
        <w:rPr>
          <w:rFonts w:ascii="仿宋_GB2312" w:eastAsia="仿宋_GB2312" w:cs="DengXian-Regular" w:hint="eastAsia"/>
          <w:sz w:val="32"/>
          <w:szCs w:val="32"/>
        </w:rPr>
        <w:t>万元，其中：基本支出</w:t>
      </w:r>
      <w:r w:rsidR="00C84F44">
        <w:rPr>
          <w:rFonts w:ascii="仿宋_GB2312" w:eastAsia="仿宋_GB2312" w:cs="DengXian-Regular" w:hint="eastAsia"/>
          <w:sz w:val="32"/>
          <w:szCs w:val="32"/>
        </w:rPr>
        <w:t>832.68</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46.79</w:t>
      </w:r>
      <w:r>
        <w:rPr>
          <w:rFonts w:ascii="仿宋_GB2312" w:eastAsia="仿宋_GB2312" w:cs="DengXian-Regular" w:hint="eastAsia"/>
          <w:sz w:val="32"/>
          <w:szCs w:val="32"/>
        </w:rPr>
        <w:t>%；项目支出</w:t>
      </w:r>
      <w:r w:rsidR="00C84F44">
        <w:rPr>
          <w:rFonts w:ascii="仿宋_GB2312" w:eastAsia="仿宋_GB2312" w:cs="DengXian-Regular" w:hint="eastAsia"/>
          <w:sz w:val="32"/>
          <w:szCs w:val="32"/>
        </w:rPr>
        <w:t>946.96</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53.21</w:t>
      </w:r>
      <w:r>
        <w:rPr>
          <w:rFonts w:ascii="仿宋_GB2312" w:eastAsia="仿宋_GB2312" w:cs="DengXian-Regular" w:hint="eastAsia"/>
          <w:sz w:val="32"/>
          <w:szCs w:val="32"/>
        </w:rPr>
        <w:t>%；经营支出</w:t>
      </w:r>
      <w:r w:rsidR="00C84F44">
        <w:rPr>
          <w:rFonts w:ascii="仿宋_GB2312" w:eastAsia="仿宋_GB2312" w:cs="DengXian-Regular" w:hint="eastAsia"/>
          <w:sz w:val="32"/>
          <w:szCs w:val="32"/>
        </w:rPr>
        <w:t>0</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%。如表所示：</w:t>
      </w:r>
    </w:p>
    <w:p w:rsidR="00922797" w:rsidRDefault="00922797">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922797">
        <w:trPr>
          <w:trHeight w:val="286"/>
        </w:trPr>
        <w:tc>
          <w:tcPr>
            <w:tcW w:w="8874" w:type="dxa"/>
            <w:gridSpan w:val="4"/>
            <w:shd w:val="clear" w:color="auto" w:fill="auto"/>
            <w:vAlign w:val="center"/>
          </w:tcPr>
          <w:p w:rsidR="00922797" w:rsidRDefault="000A2777">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表2：支出决算结构</w:t>
            </w:r>
          </w:p>
        </w:tc>
      </w:tr>
      <w:tr w:rsidR="0092279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经营支出</w:t>
            </w:r>
          </w:p>
        </w:tc>
      </w:tr>
      <w:tr w:rsidR="0092279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832.68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946.96</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r w:rsidR="0092279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46.79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53.21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bl>
    <w:p w:rsidR="00922797" w:rsidRDefault="00922797">
      <w:pPr>
        <w:adjustRightInd w:val="0"/>
        <w:snapToGrid w:val="0"/>
        <w:spacing w:after="0" w:line="580" w:lineRule="exact"/>
        <w:ind w:firstLineChars="200" w:firstLine="640"/>
        <w:rPr>
          <w:rFonts w:ascii="仿宋_GB2312" w:eastAsia="仿宋_GB2312" w:cs="DengXian-Regular"/>
          <w:sz w:val="32"/>
          <w:szCs w:val="32"/>
        </w:rPr>
      </w:pP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922797" w:rsidRDefault="000A277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C84F44">
        <w:rPr>
          <w:rFonts w:ascii="仿宋_GB2312" w:eastAsia="仿宋_GB2312" w:cs="DengXian-Regular" w:hint="eastAsia"/>
          <w:sz w:val="32"/>
          <w:szCs w:val="32"/>
        </w:rPr>
        <w:t>1765.52</w:t>
      </w:r>
      <w:r>
        <w:rPr>
          <w:rFonts w:ascii="仿宋_GB2312" w:eastAsia="仿宋_GB2312" w:cs="DengXian-Regular" w:hint="eastAsia"/>
          <w:sz w:val="32"/>
          <w:szCs w:val="32"/>
        </w:rPr>
        <w:t>万元,比2017年度增加</w:t>
      </w:r>
      <w:r w:rsidR="006B1154">
        <w:rPr>
          <w:rFonts w:ascii="仿宋_GB2312" w:eastAsia="仿宋_GB2312" w:cs="DengXian-Regular" w:hint="eastAsia"/>
          <w:sz w:val="32"/>
          <w:szCs w:val="32"/>
        </w:rPr>
        <w:t>438.24</w:t>
      </w:r>
      <w:r>
        <w:rPr>
          <w:rFonts w:ascii="仿宋_GB2312" w:eastAsia="仿宋_GB2312" w:cs="DengXian-Regular" w:hint="eastAsia"/>
          <w:sz w:val="32"/>
          <w:szCs w:val="32"/>
        </w:rPr>
        <w:t>万元，增长</w:t>
      </w:r>
      <w:r w:rsidR="006B1154">
        <w:rPr>
          <w:rFonts w:ascii="仿宋_GB2312" w:eastAsia="仿宋_GB2312" w:cs="DengXian-Regular" w:hint="eastAsia"/>
          <w:sz w:val="32"/>
          <w:szCs w:val="32"/>
        </w:rPr>
        <w:t>33.02</w:t>
      </w:r>
      <w:r>
        <w:rPr>
          <w:rFonts w:ascii="仿宋_GB2312" w:eastAsia="仿宋_GB2312" w:cs="DengXian-Regular" w:hint="eastAsia"/>
          <w:sz w:val="32"/>
          <w:szCs w:val="32"/>
        </w:rPr>
        <w:t>%，主要是</w:t>
      </w:r>
      <w:r w:rsidR="00243102">
        <w:rPr>
          <w:rFonts w:ascii="仿宋" w:eastAsia="仿宋" w:hAnsi="仿宋" w:hint="eastAsia"/>
          <w:sz w:val="32"/>
          <w:szCs w:val="32"/>
        </w:rPr>
        <w:t>转移支付项目及其他收支项目</w:t>
      </w:r>
      <w:r w:rsidR="00243102" w:rsidRPr="00743A81">
        <w:rPr>
          <w:rFonts w:ascii="仿宋" w:eastAsia="仿宋" w:hAnsi="仿宋" w:hint="eastAsia"/>
          <w:sz w:val="32"/>
          <w:szCs w:val="32"/>
        </w:rPr>
        <w:t>增加,如</w:t>
      </w:r>
      <w:r w:rsidR="00B7462E" w:rsidRPr="00743A81">
        <w:rPr>
          <w:rFonts w:ascii="仿宋" w:eastAsia="仿宋" w:hAnsi="仿宋" w:hint="eastAsia"/>
          <w:sz w:val="32"/>
          <w:szCs w:val="32"/>
        </w:rPr>
        <w:t>革命老区项目</w:t>
      </w:r>
      <w:r w:rsidR="00B7462E">
        <w:rPr>
          <w:rFonts w:ascii="仿宋" w:eastAsia="仿宋" w:hAnsi="仿宋" w:hint="eastAsia"/>
          <w:sz w:val="32"/>
          <w:szCs w:val="32"/>
        </w:rPr>
        <w:t>、撤乡设镇标准化建设、王</w:t>
      </w:r>
      <w:proofErr w:type="gramStart"/>
      <w:r w:rsidR="00B7462E">
        <w:rPr>
          <w:rFonts w:ascii="仿宋" w:eastAsia="仿宋" w:hAnsi="仿宋" w:hint="eastAsia"/>
          <w:sz w:val="32"/>
          <w:szCs w:val="32"/>
        </w:rPr>
        <w:t>圪</w:t>
      </w:r>
      <w:proofErr w:type="gramEnd"/>
      <w:r w:rsidR="00B7462E">
        <w:rPr>
          <w:rFonts w:ascii="仿宋" w:eastAsia="仿宋" w:hAnsi="仿宋" w:hint="eastAsia"/>
          <w:sz w:val="32"/>
          <w:szCs w:val="32"/>
        </w:rPr>
        <w:t>垯生活污水处理站后期费用、乡镇规划设计费用</w:t>
      </w:r>
      <w:r w:rsidR="00B7462E" w:rsidRPr="00743A81">
        <w:rPr>
          <w:rFonts w:ascii="仿宋" w:eastAsia="仿宋" w:hAnsi="仿宋" w:hint="eastAsia"/>
          <w:sz w:val="32"/>
          <w:szCs w:val="32"/>
        </w:rPr>
        <w:t>等</w:t>
      </w:r>
      <w:r>
        <w:rPr>
          <w:rFonts w:ascii="仿宋_GB2312" w:eastAsia="仿宋_GB2312" w:cs="DengXian-Regular" w:hint="eastAsia"/>
          <w:sz w:val="32"/>
          <w:szCs w:val="32"/>
        </w:rPr>
        <w:t>；本年支出</w:t>
      </w:r>
      <w:r w:rsidR="006B1154">
        <w:rPr>
          <w:rFonts w:ascii="仿宋_GB2312" w:eastAsia="仿宋_GB2312" w:cs="DengXian-Regular" w:hint="eastAsia"/>
          <w:sz w:val="32"/>
          <w:szCs w:val="32"/>
        </w:rPr>
        <w:t>1779.64</w:t>
      </w:r>
      <w:r>
        <w:rPr>
          <w:rFonts w:ascii="仿宋_GB2312" w:eastAsia="仿宋_GB2312" w:cs="DengXian-Regular" w:hint="eastAsia"/>
          <w:sz w:val="32"/>
          <w:szCs w:val="32"/>
        </w:rPr>
        <w:t>万元，增加</w:t>
      </w:r>
      <w:r w:rsidR="006B1154">
        <w:rPr>
          <w:rFonts w:ascii="仿宋_GB2312" w:eastAsia="仿宋_GB2312" w:cs="DengXian-Regular" w:hint="eastAsia"/>
          <w:sz w:val="32"/>
          <w:szCs w:val="32"/>
        </w:rPr>
        <w:t>485.59</w:t>
      </w:r>
      <w:r>
        <w:rPr>
          <w:rFonts w:ascii="仿宋_GB2312" w:eastAsia="仿宋_GB2312" w:cs="DengXian-Regular" w:hint="eastAsia"/>
          <w:sz w:val="32"/>
          <w:szCs w:val="32"/>
        </w:rPr>
        <w:t>万元，增长</w:t>
      </w:r>
      <w:r w:rsidR="006B1154">
        <w:rPr>
          <w:rFonts w:ascii="仿宋_GB2312" w:eastAsia="仿宋_GB2312" w:cs="DengXian-Regular" w:hint="eastAsia"/>
          <w:sz w:val="32"/>
          <w:szCs w:val="32"/>
        </w:rPr>
        <w:t>37.52</w:t>
      </w:r>
      <w:r>
        <w:rPr>
          <w:rFonts w:ascii="仿宋_GB2312" w:eastAsia="仿宋_GB2312" w:cs="DengXian-Regular" w:hint="eastAsia"/>
          <w:sz w:val="32"/>
          <w:szCs w:val="32"/>
        </w:rPr>
        <w:t>%，</w:t>
      </w:r>
      <w:r w:rsidR="00243102">
        <w:rPr>
          <w:rFonts w:ascii="仿宋_GB2312" w:eastAsia="仿宋_GB2312" w:cs="DengXian-Regular" w:hint="eastAsia"/>
          <w:sz w:val="32"/>
          <w:szCs w:val="32"/>
        </w:rPr>
        <w:t>主要是</w:t>
      </w:r>
      <w:r w:rsidR="00243102">
        <w:rPr>
          <w:rFonts w:ascii="仿宋" w:eastAsia="仿宋" w:hAnsi="仿宋" w:hint="eastAsia"/>
          <w:sz w:val="32"/>
          <w:szCs w:val="32"/>
        </w:rPr>
        <w:t>转移支付项目及其他收支项目</w:t>
      </w:r>
      <w:r w:rsidR="00243102" w:rsidRPr="00743A81">
        <w:rPr>
          <w:rFonts w:ascii="仿宋" w:eastAsia="仿宋" w:hAnsi="仿宋" w:hint="eastAsia"/>
          <w:sz w:val="32"/>
          <w:szCs w:val="32"/>
        </w:rPr>
        <w:t>增加,如</w:t>
      </w:r>
      <w:r w:rsidR="00B7462E" w:rsidRPr="00743A81">
        <w:rPr>
          <w:rFonts w:ascii="仿宋" w:eastAsia="仿宋" w:hAnsi="仿宋" w:hint="eastAsia"/>
          <w:sz w:val="32"/>
          <w:szCs w:val="32"/>
        </w:rPr>
        <w:t>革命老区项目</w:t>
      </w:r>
      <w:r w:rsidR="00B7462E">
        <w:rPr>
          <w:rFonts w:ascii="仿宋" w:eastAsia="仿宋" w:hAnsi="仿宋" w:hint="eastAsia"/>
          <w:sz w:val="32"/>
          <w:szCs w:val="32"/>
        </w:rPr>
        <w:t>、撤乡设镇标准化建设、王</w:t>
      </w:r>
      <w:proofErr w:type="gramStart"/>
      <w:r w:rsidR="00B7462E">
        <w:rPr>
          <w:rFonts w:ascii="仿宋" w:eastAsia="仿宋" w:hAnsi="仿宋" w:hint="eastAsia"/>
          <w:sz w:val="32"/>
          <w:szCs w:val="32"/>
        </w:rPr>
        <w:t>圪</w:t>
      </w:r>
      <w:proofErr w:type="gramEnd"/>
      <w:r w:rsidR="00B7462E">
        <w:rPr>
          <w:rFonts w:ascii="仿宋" w:eastAsia="仿宋" w:hAnsi="仿宋" w:hint="eastAsia"/>
          <w:sz w:val="32"/>
          <w:szCs w:val="32"/>
        </w:rPr>
        <w:t>垯生活污水处理站后期费用、乡镇规划设计费用</w:t>
      </w:r>
      <w:r w:rsidR="00B7462E" w:rsidRPr="00743A81">
        <w:rPr>
          <w:rFonts w:ascii="仿宋" w:eastAsia="仿宋" w:hAnsi="仿宋" w:hint="eastAsia"/>
          <w:sz w:val="32"/>
          <w:szCs w:val="32"/>
        </w:rPr>
        <w:t>等</w:t>
      </w:r>
      <w:r>
        <w:rPr>
          <w:rFonts w:ascii="仿宋_GB2312" w:eastAsia="仿宋_GB2312" w:cs="DengXian-Regular" w:hint="eastAsia"/>
          <w:sz w:val="32"/>
          <w:szCs w:val="32"/>
        </w:rPr>
        <w:t>。</w:t>
      </w:r>
    </w:p>
    <w:p w:rsidR="00922797" w:rsidRDefault="000A2777" w:rsidP="00B7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6B1154">
        <w:rPr>
          <w:rFonts w:ascii="仿宋_GB2312" w:eastAsia="仿宋_GB2312" w:cs="DengXian-Regular" w:hint="eastAsia"/>
          <w:sz w:val="32"/>
          <w:szCs w:val="32"/>
        </w:rPr>
        <w:t>1613.54</w:t>
      </w:r>
      <w:r>
        <w:rPr>
          <w:rFonts w:ascii="仿宋_GB2312" w:eastAsia="仿宋_GB2312" w:cs="DengXian-Regular" w:hint="eastAsia"/>
          <w:sz w:val="32"/>
          <w:szCs w:val="32"/>
        </w:rPr>
        <w:t>万元，比2017年度增加</w:t>
      </w:r>
      <w:r w:rsidR="006B1154">
        <w:rPr>
          <w:rFonts w:ascii="仿宋_GB2312" w:eastAsia="仿宋_GB2312" w:cs="DengXian-Regular" w:hint="eastAsia"/>
          <w:sz w:val="32"/>
          <w:szCs w:val="32"/>
        </w:rPr>
        <w:t>286.26</w:t>
      </w:r>
      <w:r>
        <w:rPr>
          <w:rFonts w:ascii="仿宋_GB2312" w:eastAsia="仿宋_GB2312" w:cs="DengXian-Regular" w:hint="eastAsia"/>
          <w:sz w:val="32"/>
          <w:szCs w:val="32"/>
        </w:rPr>
        <w:t>万元</w:t>
      </w:r>
      <w:r w:rsidR="00B7462E">
        <w:rPr>
          <w:rFonts w:ascii="仿宋_GB2312" w:eastAsia="仿宋_GB2312" w:cs="DengXian-Regular" w:hint="eastAsia"/>
          <w:sz w:val="32"/>
          <w:szCs w:val="32"/>
        </w:rPr>
        <w:t>，增长</w:t>
      </w:r>
      <w:r w:rsidR="00CB30C7">
        <w:rPr>
          <w:rFonts w:ascii="仿宋_GB2312" w:eastAsia="仿宋_GB2312" w:cs="DengXian-Regular" w:hint="eastAsia"/>
          <w:sz w:val="32"/>
          <w:szCs w:val="32"/>
        </w:rPr>
        <w:t>21.57</w:t>
      </w:r>
      <w:r w:rsidR="00B7462E">
        <w:rPr>
          <w:rFonts w:ascii="仿宋_GB2312" w:eastAsia="仿宋_GB2312" w:cs="DengXian-Regular" w:hint="eastAsia"/>
          <w:sz w:val="32"/>
          <w:szCs w:val="32"/>
        </w:rPr>
        <w:t>%</w:t>
      </w:r>
      <w:r w:rsidR="00CB30C7">
        <w:rPr>
          <w:rFonts w:ascii="仿宋_GB2312" w:eastAsia="仿宋_GB2312" w:cs="DengXian-Regular" w:hint="eastAsia"/>
          <w:sz w:val="32"/>
          <w:szCs w:val="32"/>
        </w:rPr>
        <w:t>，</w:t>
      </w:r>
      <w:r>
        <w:rPr>
          <w:rFonts w:ascii="仿宋_GB2312" w:eastAsia="仿宋_GB2312" w:cs="DengXian-Regular" w:hint="eastAsia"/>
          <w:sz w:val="32"/>
          <w:szCs w:val="32"/>
        </w:rPr>
        <w:t>主要是</w:t>
      </w:r>
      <w:r w:rsidR="00B7462E">
        <w:rPr>
          <w:rFonts w:ascii="仿宋" w:eastAsia="仿宋" w:hAnsi="仿宋" w:hint="eastAsia"/>
          <w:sz w:val="32"/>
          <w:szCs w:val="32"/>
        </w:rPr>
        <w:t>转移支付项目及其他收支项目</w:t>
      </w:r>
      <w:r w:rsidR="00B7462E" w:rsidRPr="00743A81">
        <w:rPr>
          <w:rFonts w:ascii="仿宋" w:eastAsia="仿宋" w:hAnsi="仿宋" w:hint="eastAsia"/>
          <w:sz w:val="32"/>
          <w:szCs w:val="32"/>
        </w:rPr>
        <w:t>增加,如革命老区项目</w:t>
      </w:r>
      <w:r w:rsidR="00B7462E">
        <w:rPr>
          <w:rFonts w:ascii="仿宋" w:eastAsia="仿宋" w:hAnsi="仿宋" w:hint="eastAsia"/>
          <w:sz w:val="32"/>
          <w:szCs w:val="32"/>
        </w:rPr>
        <w:t>、撤乡设镇标准化建设等</w:t>
      </w:r>
      <w:r>
        <w:rPr>
          <w:rFonts w:ascii="仿宋_GB2312" w:eastAsia="仿宋_GB2312" w:cs="DengXian-Regular" w:hint="eastAsia"/>
          <w:sz w:val="32"/>
          <w:szCs w:val="32"/>
        </w:rPr>
        <w:t>；本年支出</w:t>
      </w:r>
      <w:r w:rsidR="006B1154">
        <w:rPr>
          <w:rFonts w:ascii="仿宋_GB2312" w:eastAsia="仿宋_GB2312" w:cs="DengXian-Regular" w:hint="eastAsia"/>
          <w:sz w:val="32"/>
          <w:szCs w:val="32"/>
        </w:rPr>
        <w:t>1627.67</w:t>
      </w:r>
      <w:r>
        <w:rPr>
          <w:rFonts w:ascii="仿宋_GB2312" w:eastAsia="仿宋_GB2312" w:cs="DengXian-Regular" w:hint="eastAsia"/>
          <w:sz w:val="32"/>
          <w:szCs w:val="32"/>
        </w:rPr>
        <w:t>万元，比2017年度增加</w:t>
      </w:r>
      <w:r w:rsidR="00243102">
        <w:rPr>
          <w:rFonts w:ascii="仿宋_GB2312" w:eastAsia="仿宋_GB2312" w:cs="DengXian-Regular" w:hint="eastAsia"/>
          <w:sz w:val="32"/>
          <w:szCs w:val="32"/>
        </w:rPr>
        <w:t>333.62</w:t>
      </w:r>
      <w:r>
        <w:rPr>
          <w:rFonts w:ascii="仿宋_GB2312" w:eastAsia="仿宋_GB2312" w:cs="DengXian-Regular" w:hint="eastAsia"/>
          <w:sz w:val="32"/>
          <w:szCs w:val="32"/>
        </w:rPr>
        <w:t>万元，增长</w:t>
      </w:r>
      <w:r w:rsidR="00243102">
        <w:rPr>
          <w:rFonts w:ascii="仿宋_GB2312" w:eastAsia="仿宋_GB2312" w:cs="DengXian-Regular" w:hint="eastAsia"/>
          <w:sz w:val="32"/>
          <w:szCs w:val="32"/>
        </w:rPr>
        <w:t>25.78</w:t>
      </w:r>
      <w:r>
        <w:rPr>
          <w:rFonts w:ascii="仿宋_GB2312" w:eastAsia="仿宋_GB2312" w:cs="DengXian-Regular" w:hint="eastAsia"/>
          <w:sz w:val="32"/>
          <w:szCs w:val="32"/>
        </w:rPr>
        <w:t>%，</w:t>
      </w:r>
      <w:r w:rsidR="00B7462E">
        <w:rPr>
          <w:rFonts w:ascii="仿宋_GB2312" w:eastAsia="仿宋_GB2312" w:cs="DengXian-Regular" w:hint="eastAsia"/>
          <w:sz w:val="32"/>
          <w:szCs w:val="32"/>
        </w:rPr>
        <w:t>主要是</w:t>
      </w:r>
      <w:r w:rsidR="00B7462E">
        <w:rPr>
          <w:rFonts w:ascii="仿宋" w:eastAsia="仿宋" w:hAnsi="仿宋" w:hint="eastAsia"/>
          <w:sz w:val="32"/>
          <w:szCs w:val="32"/>
        </w:rPr>
        <w:t>转移支付项目及其他收支项目</w:t>
      </w:r>
      <w:r w:rsidR="00B7462E" w:rsidRPr="00743A81">
        <w:rPr>
          <w:rFonts w:ascii="仿宋" w:eastAsia="仿宋" w:hAnsi="仿宋" w:hint="eastAsia"/>
          <w:sz w:val="32"/>
          <w:szCs w:val="32"/>
        </w:rPr>
        <w:t>增加,如革命老区</w:t>
      </w:r>
      <w:r w:rsidR="00B7462E" w:rsidRPr="00743A81">
        <w:rPr>
          <w:rFonts w:ascii="仿宋" w:eastAsia="仿宋" w:hAnsi="仿宋" w:hint="eastAsia"/>
          <w:sz w:val="32"/>
          <w:szCs w:val="32"/>
        </w:rPr>
        <w:lastRenderedPageBreak/>
        <w:t>项目</w:t>
      </w:r>
      <w:r w:rsidR="00B7462E">
        <w:rPr>
          <w:rFonts w:ascii="仿宋" w:eastAsia="仿宋" w:hAnsi="仿宋" w:hint="eastAsia"/>
          <w:sz w:val="32"/>
          <w:szCs w:val="32"/>
        </w:rPr>
        <w:t>、撤乡设镇标准化建设等</w:t>
      </w:r>
      <w:r>
        <w:rPr>
          <w:rFonts w:ascii="仿宋_GB2312" w:eastAsia="仿宋_GB2312" w:cs="DengXian-Regular" w:hint="eastAsia"/>
          <w:sz w:val="32"/>
          <w:szCs w:val="32"/>
        </w:rPr>
        <w:t>。政府性基金预算财政拨款本年收入</w:t>
      </w:r>
      <w:r w:rsidR="006B1154">
        <w:rPr>
          <w:rFonts w:ascii="仿宋_GB2312" w:eastAsia="仿宋_GB2312" w:cs="DengXian-Regular" w:hint="eastAsia"/>
          <w:sz w:val="32"/>
          <w:szCs w:val="32"/>
        </w:rPr>
        <w:t>151.97</w:t>
      </w:r>
      <w:r>
        <w:rPr>
          <w:rFonts w:ascii="仿宋_GB2312" w:eastAsia="仿宋_GB2312" w:cs="DengXian-Regular" w:hint="eastAsia"/>
          <w:sz w:val="32"/>
          <w:szCs w:val="32"/>
        </w:rPr>
        <w:t>万元，比2017年度增加</w:t>
      </w:r>
      <w:r w:rsidR="00243102">
        <w:rPr>
          <w:rFonts w:ascii="仿宋_GB2312" w:eastAsia="仿宋_GB2312" w:cs="DengXian-Regular" w:hint="eastAsia"/>
          <w:sz w:val="32"/>
          <w:szCs w:val="32"/>
        </w:rPr>
        <w:t>151.97</w:t>
      </w:r>
      <w:r>
        <w:rPr>
          <w:rFonts w:ascii="仿宋_GB2312" w:eastAsia="仿宋_GB2312" w:cs="DengXian-Regular" w:hint="eastAsia"/>
          <w:sz w:val="32"/>
          <w:szCs w:val="32"/>
        </w:rPr>
        <w:t>万元，增长</w:t>
      </w:r>
      <w:r w:rsidR="00243102">
        <w:rPr>
          <w:rFonts w:ascii="仿宋_GB2312" w:eastAsia="仿宋_GB2312" w:cs="DengXian-Regular" w:hint="eastAsia"/>
          <w:sz w:val="32"/>
          <w:szCs w:val="32"/>
        </w:rPr>
        <w:t>100</w:t>
      </w:r>
      <w:r>
        <w:rPr>
          <w:rFonts w:ascii="仿宋_GB2312" w:eastAsia="仿宋_GB2312" w:cs="DengXian-Regular" w:hint="eastAsia"/>
          <w:sz w:val="32"/>
          <w:szCs w:val="32"/>
        </w:rPr>
        <w:t>%，主要是</w:t>
      </w:r>
      <w:r w:rsidR="00B7462E">
        <w:rPr>
          <w:rFonts w:ascii="仿宋" w:eastAsia="仿宋" w:hAnsi="仿宋" w:hint="eastAsia"/>
          <w:sz w:val="32"/>
          <w:szCs w:val="32"/>
        </w:rPr>
        <w:t>转移支付项目，如王</w:t>
      </w:r>
      <w:proofErr w:type="gramStart"/>
      <w:r w:rsidR="00B7462E">
        <w:rPr>
          <w:rFonts w:ascii="仿宋" w:eastAsia="仿宋" w:hAnsi="仿宋" w:hint="eastAsia"/>
          <w:sz w:val="32"/>
          <w:szCs w:val="32"/>
        </w:rPr>
        <w:t>圪</w:t>
      </w:r>
      <w:proofErr w:type="gramEnd"/>
      <w:r w:rsidR="00B7462E">
        <w:rPr>
          <w:rFonts w:ascii="仿宋" w:eastAsia="仿宋" w:hAnsi="仿宋" w:hint="eastAsia"/>
          <w:sz w:val="32"/>
          <w:szCs w:val="32"/>
        </w:rPr>
        <w:t>垯生活污水处理站后期费用、乡镇规划设计费用</w:t>
      </w:r>
      <w:r w:rsidR="00B7462E" w:rsidRPr="00743A81">
        <w:rPr>
          <w:rFonts w:ascii="仿宋" w:eastAsia="仿宋" w:hAnsi="仿宋" w:hint="eastAsia"/>
          <w:sz w:val="32"/>
          <w:szCs w:val="32"/>
        </w:rPr>
        <w:t>等</w:t>
      </w:r>
      <w:r>
        <w:rPr>
          <w:rFonts w:ascii="仿宋_GB2312" w:eastAsia="仿宋_GB2312" w:cs="DengXian-Regular" w:hint="eastAsia"/>
          <w:sz w:val="32"/>
          <w:szCs w:val="32"/>
        </w:rPr>
        <w:t>；本年支出</w:t>
      </w:r>
      <w:r w:rsidR="00243102">
        <w:rPr>
          <w:rFonts w:ascii="仿宋_GB2312" w:eastAsia="仿宋_GB2312" w:cs="DengXian-Regular" w:hint="eastAsia"/>
          <w:sz w:val="32"/>
          <w:szCs w:val="32"/>
        </w:rPr>
        <w:t>151.97</w:t>
      </w:r>
      <w:r>
        <w:rPr>
          <w:rFonts w:ascii="仿宋_GB2312" w:eastAsia="仿宋_GB2312" w:cs="DengXian-Regular" w:hint="eastAsia"/>
          <w:sz w:val="32"/>
          <w:szCs w:val="32"/>
        </w:rPr>
        <w:t>万元，比2017年度增加</w:t>
      </w:r>
      <w:r w:rsidR="00243102">
        <w:rPr>
          <w:rFonts w:ascii="仿宋_GB2312" w:eastAsia="仿宋_GB2312" w:cs="DengXian-Regular" w:hint="eastAsia"/>
          <w:sz w:val="32"/>
          <w:szCs w:val="32"/>
        </w:rPr>
        <w:t>151.97万元，增长100</w:t>
      </w:r>
      <w:r>
        <w:rPr>
          <w:rFonts w:ascii="仿宋_GB2312" w:eastAsia="仿宋_GB2312" w:cs="DengXian-Regular" w:hint="eastAsia"/>
          <w:sz w:val="32"/>
          <w:szCs w:val="32"/>
        </w:rPr>
        <w:t>%，主要是</w:t>
      </w:r>
      <w:r w:rsidR="00B7462E">
        <w:rPr>
          <w:rFonts w:ascii="仿宋" w:eastAsia="仿宋" w:hAnsi="仿宋" w:hint="eastAsia"/>
          <w:sz w:val="32"/>
          <w:szCs w:val="32"/>
        </w:rPr>
        <w:t>转移支付项目，如王</w:t>
      </w:r>
      <w:proofErr w:type="gramStart"/>
      <w:r w:rsidR="00B7462E">
        <w:rPr>
          <w:rFonts w:ascii="仿宋" w:eastAsia="仿宋" w:hAnsi="仿宋" w:hint="eastAsia"/>
          <w:sz w:val="32"/>
          <w:szCs w:val="32"/>
        </w:rPr>
        <w:t>圪</w:t>
      </w:r>
      <w:proofErr w:type="gramEnd"/>
      <w:r w:rsidR="00B7462E">
        <w:rPr>
          <w:rFonts w:ascii="仿宋" w:eastAsia="仿宋" w:hAnsi="仿宋" w:hint="eastAsia"/>
          <w:sz w:val="32"/>
          <w:szCs w:val="32"/>
        </w:rPr>
        <w:t>垯生活污水处理站后期费用、乡镇规划设计费用</w:t>
      </w:r>
      <w:r w:rsidR="00B7462E" w:rsidRPr="00743A81">
        <w:rPr>
          <w:rFonts w:ascii="仿宋" w:eastAsia="仿宋" w:hAnsi="仿宋" w:hint="eastAsia"/>
          <w:sz w:val="32"/>
          <w:szCs w:val="32"/>
        </w:rPr>
        <w:t>等</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922797">
        <w:trPr>
          <w:trHeight w:val="375"/>
        </w:trPr>
        <w:tc>
          <w:tcPr>
            <w:tcW w:w="8874" w:type="dxa"/>
            <w:gridSpan w:val="7"/>
            <w:shd w:val="clear" w:color="auto" w:fill="auto"/>
            <w:vAlign w:val="center"/>
          </w:tcPr>
          <w:p w:rsidR="00922797" w:rsidRDefault="000A2777">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表3：2017-2018年财政拨款收支情况</w:t>
            </w:r>
          </w:p>
        </w:tc>
      </w:tr>
      <w:tr w:rsidR="0092279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92279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922797">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政府性基金预算财政拨款支出</w:t>
            </w:r>
          </w:p>
        </w:tc>
      </w:tr>
      <w:tr w:rsidR="0092279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1327.28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1327.28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B30C7">
            <w:pPr>
              <w:rPr>
                <w:rFonts w:ascii="宋体" w:hAnsi="宋体" w:cs="宋体"/>
                <w:color w:val="000000"/>
                <w:sz w:val="24"/>
              </w:rPr>
            </w:pPr>
            <w:r>
              <w:rPr>
                <w:rFonts w:ascii="宋体" w:hAnsi="宋体" w:cs="宋体" w:hint="eastAsia"/>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1294.05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1294.05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B30C7">
            <w:pPr>
              <w:rPr>
                <w:rFonts w:ascii="宋体" w:hAnsi="宋体" w:cs="宋体"/>
                <w:color w:val="000000"/>
                <w:sz w:val="24"/>
              </w:rPr>
            </w:pPr>
            <w:r>
              <w:rPr>
                <w:rFonts w:ascii="宋体" w:hAnsi="宋体" w:cs="宋体" w:hint="eastAsia"/>
                <w:color w:val="000000"/>
                <w:sz w:val="24"/>
              </w:rPr>
              <w:t>0</w:t>
            </w:r>
          </w:p>
        </w:tc>
      </w:tr>
      <w:tr w:rsidR="0092279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1765.52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1613.54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151.97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1779.64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1627.67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151.97</w:t>
            </w:r>
          </w:p>
        </w:tc>
      </w:tr>
      <w:tr w:rsidR="0092279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33.02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B30C7">
            <w:pPr>
              <w:rPr>
                <w:rFonts w:ascii="宋体" w:hAnsi="宋体" w:cs="宋体"/>
                <w:color w:val="000000"/>
                <w:sz w:val="24"/>
              </w:rPr>
            </w:pPr>
            <w:r>
              <w:rPr>
                <w:rFonts w:ascii="宋体" w:hAnsi="宋体" w:cs="宋体" w:hint="eastAsia"/>
                <w:color w:val="000000"/>
                <w:sz w:val="24"/>
              </w:rPr>
              <w:t>21.57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B30C7">
            <w:pPr>
              <w:rPr>
                <w:rFonts w:ascii="宋体" w:hAnsi="宋体" w:cs="宋体"/>
                <w:color w:val="000000"/>
                <w:sz w:val="24"/>
              </w:rPr>
            </w:pPr>
            <w:r>
              <w:rPr>
                <w:rFonts w:ascii="宋体" w:hAnsi="宋体" w:cs="宋体" w:hint="eastAsia"/>
                <w:color w:val="000000"/>
                <w:sz w:val="24"/>
              </w:rPr>
              <w:t>100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7462E">
            <w:pPr>
              <w:rPr>
                <w:rFonts w:ascii="宋体" w:hAnsi="宋体" w:cs="宋体"/>
                <w:color w:val="000000"/>
                <w:sz w:val="24"/>
              </w:rPr>
            </w:pPr>
            <w:r>
              <w:rPr>
                <w:rFonts w:ascii="宋体" w:hAnsi="宋体" w:cs="宋体" w:hint="eastAsia"/>
                <w:color w:val="000000"/>
                <w:sz w:val="24"/>
              </w:rPr>
              <w:t>37.52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B30C7">
            <w:pPr>
              <w:rPr>
                <w:rFonts w:ascii="宋体" w:hAnsi="宋体" w:cs="宋体"/>
                <w:color w:val="000000"/>
                <w:sz w:val="24"/>
              </w:rPr>
            </w:pPr>
            <w:r>
              <w:rPr>
                <w:rFonts w:ascii="宋体" w:hAnsi="宋体" w:cs="宋体" w:hint="eastAsia"/>
                <w:color w:val="000000"/>
                <w:sz w:val="24"/>
              </w:rPr>
              <w:t>,25.78</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B30C7">
            <w:pPr>
              <w:rPr>
                <w:rFonts w:ascii="宋体" w:hAnsi="宋体" w:cs="宋体"/>
                <w:color w:val="000000"/>
                <w:sz w:val="24"/>
              </w:rPr>
            </w:pPr>
            <w:r>
              <w:rPr>
                <w:rFonts w:ascii="宋体" w:hAnsi="宋体" w:cs="宋体" w:hint="eastAsia"/>
                <w:color w:val="000000"/>
                <w:sz w:val="24"/>
              </w:rPr>
              <w:t>100</w:t>
            </w:r>
          </w:p>
        </w:tc>
      </w:tr>
    </w:tbl>
    <w:p w:rsidR="00922797" w:rsidRDefault="00922797">
      <w:pPr>
        <w:spacing w:after="0" w:line="580" w:lineRule="exact"/>
        <w:ind w:firstLineChars="200" w:firstLine="643"/>
        <w:rPr>
          <w:rFonts w:ascii="楷体_GB2312" w:eastAsia="楷体_GB2312" w:cs="DengXian-Bold"/>
          <w:b/>
          <w:bCs/>
          <w:sz w:val="32"/>
          <w:szCs w:val="32"/>
        </w:rPr>
      </w:pPr>
    </w:p>
    <w:p w:rsidR="00922797" w:rsidRDefault="000A2777">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051433">
        <w:rPr>
          <w:rFonts w:ascii="仿宋_GB2312" w:eastAsia="仿宋_GB2312" w:cs="DengXian-Regular" w:hint="eastAsia"/>
          <w:sz w:val="32"/>
          <w:szCs w:val="32"/>
        </w:rPr>
        <w:t>1765.52</w:t>
      </w:r>
      <w:r>
        <w:rPr>
          <w:rFonts w:ascii="仿宋_GB2312" w:eastAsia="仿宋_GB2312" w:cs="DengXian-Regular" w:hint="eastAsia"/>
          <w:sz w:val="32"/>
          <w:szCs w:val="32"/>
        </w:rPr>
        <w:t>万元，完成年初预算的</w:t>
      </w:r>
      <w:r w:rsidR="00051433">
        <w:rPr>
          <w:rFonts w:ascii="仿宋_GB2312" w:eastAsia="仿宋_GB2312" w:cs="DengXian-Regular" w:hint="eastAsia"/>
          <w:sz w:val="32"/>
          <w:szCs w:val="32"/>
        </w:rPr>
        <w:t>123.55</w:t>
      </w:r>
      <w:r>
        <w:rPr>
          <w:rFonts w:ascii="仿宋_GB2312" w:eastAsia="仿宋_GB2312" w:cs="DengXian-Regular" w:hint="eastAsia"/>
          <w:sz w:val="32"/>
          <w:szCs w:val="32"/>
        </w:rPr>
        <w:t>%,比年初预算增加</w:t>
      </w:r>
      <w:r w:rsidR="00051433">
        <w:rPr>
          <w:rFonts w:ascii="仿宋_GB2312" w:eastAsia="仿宋_GB2312" w:cs="DengXian-Regular" w:hint="eastAsia"/>
          <w:sz w:val="32"/>
          <w:szCs w:val="32"/>
        </w:rPr>
        <w:t>336.53</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增加,如革命老区项</w:t>
      </w:r>
      <w:r w:rsidR="007C4917" w:rsidRPr="00743A81">
        <w:rPr>
          <w:rFonts w:ascii="仿宋" w:eastAsia="仿宋" w:hAnsi="仿宋" w:hint="eastAsia"/>
          <w:sz w:val="32"/>
          <w:szCs w:val="32"/>
        </w:rPr>
        <w:lastRenderedPageBreak/>
        <w:t>目</w:t>
      </w:r>
      <w:r w:rsidR="007C4917">
        <w:rPr>
          <w:rFonts w:ascii="仿宋" w:eastAsia="仿宋" w:hAnsi="仿宋" w:hint="eastAsia"/>
          <w:sz w:val="32"/>
          <w:szCs w:val="32"/>
        </w:rPr>
        <w:t>、撤乡设镇标准化建设、王</w:t>
      </w:r>
      <w:proofErr w:type="gramStart"/>
      <w:r w:rsidR="007C4917">
        <w:rPr>
          <w:rFonts w:ascii="仿宋" w:eastAsia="仿宋" w:hAnsi="仿宋" w:hint="eastAsia"/>
          <w:sz w:val="32"/>
          <w:szCs w:val="32"/>
        </w:rPr>
        <w:t>圪</w:t>
      </w:r>
      <w:proofErr w:type="gramEnd"/>
      <w:r w:rsidR="007C4917">
        <w:rPr>
          <w:rFonts w:ascii="仿宋" w:eastAsia="仿宋" w:hAnsi="仿宋" w:hint="eastAsia"/>
          <w:sz w:val="32"/>
          <w:szCs w:val="32"/>
        </w:rPr>
        <w:t>垯生活污水处理站后期费用、乡镇规划设计费用</w:t>
      </w:r>
      <w:r w:rsidR="007C4917" w:rsidRPr="00743A81">
        <w:rPr>
          <w:rFonts w:ascii="仿宋" w:eastAsia="仿宋" w:hAnsi="仿宋" w:hint="eastAsia"/>
          <w:sz w:val="32"/>
          <w:szCs w:val="32"/>
        </w:rPr>
        <w:t>等</w:t>
      </w:r>
      <w:r w:rsidR="007C4917">
        <w:rPr>
          <w:rFonts w:ascii="仿宋_GB2312" w:eastAsia="仿宋_GB2312" w:cs="DengXian-Regular" w:hint="eastAsia"/>
          <w:sz w:val="32"/>
          <w:szCs w:val="32"/>
        </w:rPr>
        <w:t>。</w:t>
      </w:r>
      <w:r>
        <w:rPr>
          <w:rFonts w:ascii="仿宋_GB2312" w:eastAsia="仿宋_GB2312" w:cs="DengXian-Regular" w:hint="eastAsia"/>
          <w:sz w:val="32"/>
          <w:szCs w:val="32"/>
        </w:rPr>
        <w:t>；本年支出</w:t>
      </w:r>
      <w:r w:rsidR="00051433">
        <w:rPr>
          <w:rFonts w:ascii="仿宋_GB2312" w:eastAsia="仿宋_GB2312" w:cs="DengXian-Regular" w:hint="eastAsia"/>
          <w:sz w:val="32"/>
          <w:szCs w:val="32"/>
        </w:rPr>
        <w:t>1779.64</w:t>
      </w:r>
      <w:r>
        <w:rPr>
          <w:rFonts w:ascii="仿宋_GB2312" w:eastAsia="仿宋_GB2312" w:cs="DengXian-Regular" w:hint="eastAsia"/>
          <w:sz w:val="32"/>
          <w:szCs w:val="32"/>
        </w:rPr>
        <w:t>万元，完成年初预算的</w:t>
      </w:r>
      <w:r w:rsidR="00051433">
        <w:rPr>
          <w:rFonts w:ascii="仿宋_GB2312" w:eastAsia="仿宋_GB2312" w:cs="DengXian-Regular" w:hint="eastAsia"/>
          <w:sz w:val="32"/>
          <w:szCs w:val="32"/>
        </w:rPr>
        <w:t>124.54</w:t>
      </w:r>
      <w:r>
        <w:rPr>
          <w:rFonts w:ascii="仿宋_GB2312" w:eastAsia="仿宋_GB2312" w:cs="DengXian-Regular" w:hint="eastAsia"/>
          <w:sz w:val="32"/>
          <w:szCs w:val="32"/>
        </w:rPr>
        <w:t>%,比年初预算增加</w:t>
      </w:r>
      <w:r w:rsidR="00051433">
        <w:rPr>
          <w:rFonts w:ascii="仿宋_GB2312" w:eastAsia="仿宋_GB2312" w:cs="DengXian-Regular" w:hint="eastAsia"/>
          <w:sz w:val="32"/>
          <w:szCs w:val="32"/>
        </w:rPr>
        <w:t>350.65</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增加,如革命老区项目</w:t>
      </w:r>
      <w:r w:rsidR="007C4917">
        <w:rPr>
          <w:rFonts w:ascii="仿宋" w:eastAsia="仿宋" w:hAnsi="仿宋" w:hint="eastAsia"/>
          <w:sz w:val="32"/>
          <w:szCs w:val="32"/>
        </w:rPr>
        <w:t>、撤乡设镇标准化建设、王</w:t>
      </w:r>
      <w:proofErr w:type="gramStart"/>
      <w:r w:rsidR="007C4917">
        <w:rPr>
          <w:rFonts w:ascii="仿宋" w:eastAsia="仿宋" w:hAnsi="仿宋" w:hint="eastAsia"/>
          <w:sz w:val="32"/>
          <w:szCs w:val="32"/>
        </w:rPr>
        <w:t>圪</w:t>
      </w:r>
      <w:proofErr w:type="gramEnd"/>
      <w:r w:rsidR="007C4917">
        <w:rPr>
          <w:rFonts w:ascii="仿宋" w:eastAsia="仿宋" w:hAnsi="仿宋" w:hint="eastAsia"/>
          <w:sz w:val="32"/>
          <w:szCs w:val="32"/>
        </w:rPr>
        <w:t>垯生活污水处理站后期费用、乡镇规划设计费用</w:t>
      </w:r>
      <w:r w:rsidR="007C4917" w:rsidRPr="00743A81">
        <w:rPr>
          <w:rFonts w:ascii="仿宋" w:eastAsia="仿宋" w:hAnsi="仿宋" w:hint="eastAsia"/>
          <w:sz w:val="32"/>
          <w:szCs w:val="32"/>
        </w:rPr>
        <w:t>等</w:t>
      </w:r>
      <w:r w:rsidR="007C4917">
        <w:rPr>
          <w:rFonts w:ascii="仿宋_GB2312" w:eastAsia="仿宋_GB2312" w:cs="DengXian-Regular" w:hint="eastAsia"/>
          <w:sz w:val="32"/>
          <w:szCs w:val="32"/>
        </w:rPr>
        <w:t>。</w:t>
      </w:r>
    </w:p>
    <w:p w:rsidR="00922797" w:rsidRPr="00051433" w:rsidRDefault="000A2777" w:rsidP="0005143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sidR="007C4917">
        <w:rPr>
          <w:rFonts w:ascii="仿宋_GB2312" w:eastAsia="仿宋_GB2312" w:cs="DengXian-Regular" w:hint="eastAsia"/>
          <w:sz w:val="32"/>
          <w:szCs w:val="32"/>
        </w:rPr>
        <w:t>112.91</w:t>
      </w:r>
      <w:r>
        <w:rPr>
          <w:rFonts w:ascii="仿宋_GB2312" w:eastAsia="仿宋_GB2312" w:cs="DengXian-Regular" w:hint="eastAsia"/>
          <w:sz w:val="32"/>
          <w:szCs w:val="32"/>
        </w:rPr>
        <w:t>%，比年初预算增加</w:t>
      </w:r>
      <w:r w:rsidR="007C4917">
        <w:rPr>
          <w:rFonts w:ascii="仿宋_GB2312" w:eastAsia="仿宋_GB2312" w:cs="DengXian-Regular" w:hint="eastAsia"/>
          <w:sz w:val="32"/>
          <w:szCs w:val="32"/>
        </w:rPr>
        <w:t>184.55</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增加,如革命老区项目</w:t>
      </w:r>
      <w:r w:rsidR="007C4917">
        <w:rPr>
          <w:rFonts w:ascii="仿宋" w:eastAsia="仿宋" w:hAnsi="仿宋" w:hint="eastAsia"/>
          <w:sz w:val="32"/>
          <w:szCs w:val="32"/>
        </w:rPr>
        <w:t>、撤乡设镇标准化建设等</w:t>
      </w:r>
      <w:r>
        <w:rPr>
          <w:rFonts w:ascii="仿宋_GB2312" w:eastAsia="仿宋_GB2312" w:cs="DengXian-Regular" w:hint="eastAsia"/>
          <w:sz w:val="32"/>
          <w:szCs w:val="32"/>
        </w:rPr>
        <w:t>；支出完成年初预算</w:t>
      </w:r>
      <w:r w:rsidR="007C4917">
        <w:rPr>
          <w:rFonts w:ascii="仿宋_GB2312" w:eastAsia="仿宋_GB2312" w:cs="DengXian-Regular" w:hint="eastAsia"/>
          <w:sz w:val="32"/>
          <w:szCs w:val="32"/>
        </w:rPr>
        <w:t>113.9</w:t>
      </w:r>
      <w:r>
        <w:rPr>
          <w:rFonts w:ascii="仿宋_GB2312" w:eastAsia="仿宋_GB2312" w:cs="DengXian-Regular" w:hint="eastAsia"/>
          <w:sz w:val="32"/>
          <w:szCs w:val="32"/>
        </w:rPr>
        <w:t>%，比年初预算增加</w:t>
      </w:r>
      <w:r w:rsidR="007C4917">
        <w:rPr>
          <w:rFonts w:ascii="仿宋_GB2312" w:eastAsia="仿宋_GB2312" w:cs="DengXian-Regular" w:hint="eastAsia"/>
          <w:sz w:val="32"/>
          <w:szCs w:val="32"/>
        </w:rPr>
        <w:t>198.68</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增加,如革命老区项目</w:t>
      </w:r>
      <w:r w:rsidR="007C4917">
        <w:rPr>
          <w:rFonts w:ascii="仿宋" w:eastAsia="仿宋" w:hAnsi="仿宋" w:hint="eastAsia"/>
          <w:sz w:val="32"/>
          <w:szCs w:val="32"/>
        </w:rPr>
        <w:t>、撤乡设镇标准化建设等</w:t>
      </w:r>
      <w:r>
        <w:rPr>
          <w:rFonts w:ascii="仿宋_GB2312" w:eastAsia="仿宋_GB2312" w:cs="DengXian-Regular" w:hint="eastAsia"/>
          <w:sz w:val="32"/>
          <w:szCs w:val="32"/>
        </w:rPr>
        <w:t>。政府性基金预算财政拨款本年收入完成年初预算</w:t>
      </w:r>
      <w:r w:rsidR="007C4917">
        <w:rPr>
          <w:rFonts w:ascii="仿宋_GB2312" w:eastAsia="仿宋_GB2312" w:cs="DengXian-Regular" w:hint="eastAsia"/>
          <w:sz w:val="32"/>
          <w:szCs w:val="32"/>
        </w:rPr>
        <w:t>100</w:t>
      </w:r>
      <w:r>
        <w:rPr>
          <w:rFonts w:ascii="仿宋_GB2312" w:eastAsia="仿宋_GB2312" w:cs="DengXian-Regular" w:hint="eastAsia"/>
          <w:sz w:val="32"/>
          <w:szCs w:val="32"/>
        </w:rPr>
        <w:t>%，比年初预算增加</w:t>
      </w:r>
      <w:r w:rsidR="007C4917">
        <w:rPr>
          <w:rFonts w:ascii="仿宋_GB2312" w:eastAsia="仿宋_GB2312" w:cs="DengXian-Regular" w:hint="eastAsia"/>
          <w:sz w:val="32"/>
          <w:szCs w:val="32"/>
        </w:rPr>
        <w:t>151.97</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转移支付项目，如王</w:t>
      </w:r>
      <w:proofErr w:type="gramStart"/>
      <w:r w:rsidR="007C4917">
        <w:rPr>
          <w:rFonts w:ascii="仿宋" w:eastAsia="仿宋" w:hAnsi="仿宋" w:hint="eastAsia"/>
          <w:sz w:val="32"/>
          <w:szCs w:val="32"/>
        </w:rPr>
        <w:t>圪</w:t>
      </w:r>
      <w:proofErr w:type="gramEnd"/>
      <w:r w:rsidR="007C4917">
        <w:rPr>
          <w:rFonts w:ascii="仿宋" w:eastAsia="仿宋" w:hAnsi="仿宋" w:hint="eastAsia"/>
          <w:sz w:val="32"/>
          <w:szCs w:val="32"/>
        </w:rPr>
        <w:t>垯生活污水处理站后期费用、乡镇规划设计费用</w:t>
      </w:r>
      <w:r w:rsidR="007C4917" w:rsidRPr="00743A81">
        <w:rPr>
          <w:rFonts w:ascii="仿宋" w:eastAsia="仿宋" w:hAnsi="仿宋" w:hint="eastAsia"/>
          <w:sz w:val="32"/>
          <w:szCs w:val="32"/>
        </w:rPr>
        <w:t>等</w:t>
      </w:r>
      <w:r>
        <w:rPr>
          <w:rFonts w:ascii="仿宋_GB2312" w:eastAsia="仿宋_GB2312" w:cs="DengXian-Regular" w:hint="eastAsia"/>
          <w:sz w:val="32"/>
          <w:szCs w:val="32"/>
        </w:rPr>
        <w:t>；支出完成年初预算</w:t>
      </w:r>
      <w:r w:rsidR="007C4917">
        <w:rPr>
          <w:rFonts w:ascii="仿宋_GB2312" w:eastAsia="仿宋_GB2312" w:cs="DengXian-Regular" w:hint="eastAsia"/>
          <w:sz w:val="32"/>
          <w:szCs w:val="32"/>
        </w:rPr>
        <w:t>100</w:t>
      </w:r>
      <w:r>
        <w:rPr>
          <w:rFonts w:ascii="仿宋_GB2312" w:eastAsia="仿宋_GB2312" w:cs="DengXian-Regular" w:hint="eastAsia"/>
          <w:sz w:val="32"/>
          <w:szCs w:val="32"/>
        </w:rPr>
        <w:t>%，比年初预算增加</w:t>
      </w:r>
      <w:r w:rsidR="007C4917">
        <w:rPr>
          <w:rFonts w:ascii="仿宋_GB2312" w:eastAsia="仿宋_GB2312" w:cs="DengXian-Regular" w:hint="eastAsia"/>
          <w:sz w:val="32"/>
          <w:szCs w:val="32"/>
        </w:rPr>
        <w:t>151.97</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转移支付项目，如王</w:t>
      </w:r>
      <w:proofErr w:type="gramStart"/>
      <w:r w:rsidR="007C4917">
        <w:rPr>
          <w:rFonts w:ascii="仿宋" w:eastAsia="仿宋" w:hAnsi="仿宋" w:hint="eastAsia"/>
          <w:sz w:val="32"/>
          <w:szCs w:val="32"/>
        </w:rPr>
        <w:t>圪</w:t>
      </w:r>
      <w:proofErr w:type="gramEnd"/>
      <w:r w:rsidR="007C4917">
        <w:rPr>
          <w:rFonts w:ascii="仿宋" w:eastAsia="仿宋" w:hAnsi="仿宋" w:hint="eastAsia"/>
          <w:sz w:val="32"/>
          <w:szCs w:val="32"/>
        </w:rPr>
        <w:t>垯生活污水处理站后期费用、乡镇规划设计费用</w:t>
      </w:r>
      <w:r w:rsidR="007C4917" w:rsidRPr="00743A81">
        <w:rPr>
          <w:rFonts w:ascii="仿宋" w:eastAsia="仿宋" w:hAnsi="仿宋" w:hint="eastAsia"/>
          <w:sz w:val="32"/>
          <w:szCs w:val="32"/>
        </w:rPr>
        <w:t>等</w:t>
      </w:r>
      <w:r>
        <w:rPr>
          <w:rFonts w:ascii="仿宋_GB2312" w:eastAsia="仿宋_GB2312" w:cs="DengXian-Regular" w:hint="eastAsia"/>
          <w:sz w:val="32"/>
          <w:szCs w:val="32"/>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922797">
        <w:trPr>
          <w:trHeight w:val="510"/>
        </w:trPr>
        <w:tc>
          <w:tcPr>
            <w:tcW w:w="9045" w:type="dxa"/>
            <w:gridSpan w:val="7"/>
            <w:shd w:val="clear" w:color="auto" w:fill="auto"/>
            <w:vAlign w:val="center"/>
          </w:tcPr>
          <w:p w:rsidR="007C4917" w:rsidRDefault="007C4917">
            <w:pPr>
              <w:widowControl/>
              <w:jc w:val="center"/>
              <w:textAlignment w:val="center"/>
              <w:rPr>
                <w:rFonts w:ascii="宋体" w:hAnsi="宋体" w:cs="宋体"/>
                <w:color w:val="000000"/>
                <w:kern w:val="0"/>
                <w:sz w:val="24"/>
                <w:lang w:bidi="ar"/>
              </w:rPr>
            </w:pPr>
          </w:p>
          <w:p w:rsidR="007C4917" w:rsidRDefault="007C4917">
            <w:pPr>
              <w:widowControl/>
              <w:jc w:val="center"/>
              <w:textAlignment w:val="center"/>
              <w:rPr>
                <w:rFonts w:ascii="宋体" w:hAnsi="宋体" w:cs="宋体"/>
                <w:color w:val="000000"/>
                <w:kern w:val="0"/>
                <w:sz w:val="24"/>
                <w:lang w:bidi="ar"/>
              </w:rPr>
            </w:pPr>
          </w:p>
          <w:p w:rsidR="00922797" w:rsidRDefault="000A277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表4：财政拨款收支预决算对比情况</w:t>
            </w:r>
          </w:p>
        </w:tc>
      </w:tr>
      <w:tr w:rsidR="0092279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922797" w:rsidTr="00051433">
        <w:trPr>
          <w:trHeight w:val="1564"/>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922797">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政府性基金预算财政拨款支出</w:t>
            </w:r>
          </w:p>
        </w:tc>
      </w:tr>
      <w:tr w:rsidR="0092279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51433">
            <w:pPr>
              <w:rPr>
                <w:rFonts w:ascii="宋体" w:hAnsi="宋体" w:cs="宋体"/>
                <w:color w:val="000000"/>
                <w:sz w:val="24"/>
              </w:rPr>
            </w:pPr>
            <w:r>
              <w:rPr>
                <w:rFonts w:ascii="宋体" w:hAnsi="宋体" w:cs="宋体" w:hint="eastAsia"/>
                <w:color w:val="000000"/>
                <w:sz w:val="24"/>
              </w:rPr>
              <w:t>1428.99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51433">
            <w:pPr>
              <w:rPr>
                <w:rFonts w:ascii="宋体" w:hAnsi="宋体" w:cs="宋体"/>
                <w:color w:val="000000"/>
                <w:sz w:val="24"/>
              </w:rPr>
            </w:pPr>
            <w:r>
              <w:rPr>
                <w:rFonts w:ascii="宋体" w:hAnsi="宋体" w:cs="宋体" w:hint="eastAsia"/>
                <w:color w:val="000000"/>
                <w:sz w:val="24"/>
              </w:rPr>
              <w:t>1428.99</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922797">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51433">
            <w:pPr>
              <w:rPr>
                <w:rFonts w:ascii="宋体" w:hAnsi="宋体" w:cs="宋体"/>
                <w:color w:val="000000"/>
                <w:sz w:val="24"/>
              </w:rPr>
            </w:pPr>
            <w:r>
              <w:rPr>
                <w:rFonts w:ascii="宋体" w:hAnsi="宋体" w:cs="宋体" w:hint="eastAsia"/>
                <w:color w:val="000000"/>
                <w:sz w:val="24"/>
              </w:rPr>
              <w:t>1428.99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51433">
            <w:pPr>
              <w:rPr>
                <w:rFonts w:ascii="宋体" w:hAnsi="宋体" w:cs="宋体"/>
                <w:color w:val="000000"/>
                <w:sz w:val="24"/>
              </w:rPr>
            </w:pPr>
            <w:r>
              <w:rPr>
                <w:rFonts w:ascii="宋体" w:hAnsi="宋体" w:cs="宋体" w:hint="eastAsia"/>
                <w:color w:val="000000"/>
                <w:sz w:val="24"/>
              </w:rPr>
              <w:t>1428.99</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922797">
            <w:pPr>
              <w:rPr>
                <w:rFonts w:ascii="宋体" w:hAnsi="宋体" w:cs="宋体"/>
                <w:color w:val="000000"/>
                <w:sz w:val="24"/>
              </w:rPr>
            </w:pPr>
          </w:p>
        </w:tc>
      </w:tr>
      <w:tr w:rsidR="00051433">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rsidP="002432AA">
            <w:pPr>
              <w:rPr>
                <w:rFonts w:ascii="宋体" w:hAnsi="宋体" w:cs="宋体"/>
                <w:color w:val="000000"/>
                <w:sz w:val="24"/>
              </w:rPr>
            </w:pPr>
            <w:r>
              <w:rPr>
                <w:rFonts w:ascii="宋体" w:hAnsi="宋体" w:cs="宋体" w:hint="eastAsia"/>
                <w:color w:val="000000"/>
                <w:sz w:val="24"/>
              </w:rPr>
              <w:t>1765.52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rsidP="002432AA">
            <w:pPr>
              <w:rPr>
                <w:rFonts w:ascii="宋体" w:hAnsi="宋体" w:cs="宋体"/>
                <w:color w:val="000000"/>
                <w:sz w:val="24"/>
              </w:rPr>
            </w:pPr>
            <w:r>
              <w:rPr>
                <w:rFonts w:ascii="宋体" w:hAnsi="宋体" w:cs="宋体" w:hint="eastAsia"/>
                <w:color w:val="000000"/>
                <w:sz w:val="24"/>
              </w:rPr>
              <w:t>1613.54</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rsidP="002432AA">
            <w:pPr>
              <w:rPr>
                <w:rFonts w:ascii="宋体" w:hAnsi="宋体" w:cs="宋体"/>
                <w:color w:val="000000"/>
                <w:sz w:val="24"/>
              </w:rPr>
            </w:pPr>
            <w:r>
              <w:rPr>
                <w:rFonts w:ascii="宋体" w:hAnsi="宋体" w:cs="宋体" w:hint="eastAsia"/>
                <w:color w:val="000000"/>
                <w:sz w:val="24"/>
              </w:rPr>
              <w:t>151.97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rsidP="002432AA">
            <w:pPr>
              <w:rPr>
                <w:rFonts w:ascii="宋体" w:hAnsi="宋体" w:cs="宋体"/>
                <w:color w:val="000000"/>
                <w:sz w:val="24"/>
              </w:rPr>
            </w:pPr>
            <w:r>
              <w:rPr>
                <w:rFonts w:ascii="宋体" w:hAnsi="宋体" w:cs="宋体" w:hint="eastAsia"/>
                <w:color w:val="000000"/>
                <w:sz w:val="24"/>
              </w:rPr>
              <w:t>1779.64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rsidP="002432AA">
            <w:pPr>
              <w:rPr>
                <w:rFonts w:ascii="宋体" w:hAnsi="宋体" w:cs="宋体"/>
                <w:color w:val="000000"/>
                <w:sz w:val="24"/>
              </w:rPr>
            </w:pPr>
            <w:r>
              <w:rPr>
                <w:rFonts w:ascii="宋体" w:hAnsi="宋体" w:cs="宋体" w:hint="eastAsia"/>
                <w:color w:val="000000"/>
                <w:sz w:val="24"/>
              </w:rPr>
              <w:t>1627.67</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rsidP="002432AA">
            <w:pPr>
              <w:rPr>
                <w:rFonts w:ascii="宋体" w:hAnsi="宋体" w:cs="宋体"/>
                <w:color w:val="000000"/>
                <w:sz w:val="24"/>
              </w:rPr>
            </w:pPr>
            <w:r>
              <w:rPr>
                <w:rFonts w:ascii="宋体" w:hAnsi="宋体" w:cs="宋体" w:hint="eastAsia"/>
                <w:color w:val="000000"/>
                <w:sz w:val="24"/>
              </w:rPr>
              <w:t>151.97</w:t>
            </w:r>
          </w:p>
        </w:tc>
      </w:tr>
    </w:tbl>
    <w:p w:rsidR="00922797" w:rsidRDefault="000A2777">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7C4917">
        <w:rPr>
          <w:rFonts w:ascii="仿宋_GB2312" w:eastAsia="仿宋_GB2312" w:cs="DengXian-Regular" w:hint="eastAsia"/>
          <w:sz w:val="32"/>
          <w:szCs w:val="32"/>
        </w:rPr>
        <w:t>1779.64</w:t>
      </w:r>
      <w:r>
        <w:rPr>
          <w:rFonts w:ascii="仿宋_GB2312" w:eastAsia="仿宋_GB2312" w:cs="DengXian-Regular" w:hint="eastAsia"/>
          <w:sz w:val="32"/>
          <w:szCs w:val="32"/>
        </w:rPr>
        <w:t>万元，主要用于以下方面</w:t>
      </w:r>
      <w:r w:rsidRPr="007C4917">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7C4917">
        <w:rPr>
          <w:rFonts w:ascii="仿宋_GB2312" w:eastAsia="仿宋_GB2312" w:cs="DengXian-Regular" w:hint="eastAsia"/>
          <w:sz w:val="32"/>
          <w:szCs w:val="32"/>
        </w:rPr>
        <w:t>923.49</w:t>
      </w:r>
      <w:r>
        <w:rPr>
          <w:rFonts w:ascii="仿宋_GB2312" w:eastAsia="仿宋_GB2312" w:cs="DengXian-Regular" w:hint="eastAsia"/>
          <w:sz w:val="32"/>
          <w:szCs w:val="32"/>
        </w:rPr>
        <w:t>万元，占</w:t>
      </w:r>
      <w:r w:rsidR="00CC6A32">
        <w:rPr>
          <w:rFonts w:ascii="仿宋_GB2312" w:eastAsia="仿宋_GB2312" w:cs="DengXian-Regular" w:hint="eastAsia"/>
          <w:sz w:val="32"/>
          <w:szCs w:val="32"/>
        </w:rPr>
        <w:t>51.</w:t>
      </w:r>
      <w:r w:rsidR="008640A0">
        <w:rPr>
          <w:rFonts w:ascii="仿宋_GB2312" w:eastAsia="仿宋_GB2312" w:cs="DengXian-Regular" w:hint="eastAsia"/>
          <w:sz w:val="32"/>
          <w:szCs w:val="32"/>
        </w:rPr>
        <w:t>89</w:t>
      </w:r>
      <w:r>
        <w:rPr>
          <w:rFonts w:ascii="仿宋_GB2312" w:eastAsia="仿宋_GB2312" w:cs="DengXian-Regular" w:hint="eastAsia"/>
          <w:sz w:val="32"/>
          <w:szCs w:val="32"/>
        </w:rPr>
        <w:t>%；公共安全（类）支出</w:t>
      </w:r>
      <w:r w:rsidR="007C4917">
        <w:rPr>
          <w:rFonts w:ascii="仿宋_GB2312" w:eastAsia="仿宋_GB2312" w:cs="DengXian-Regular" w:hint="eastAsia"/>
          <w:sz w:val="32"/>
          <w:szCs w:val="32"/>
        </w:rPr>
        <w:t>19.23</w:t>
      </w:r>
      <w:r>
        <w:rPr>
          <w:rFonts w:ascii="仿宋_GB2312" w:eastAsia="仿宋_GB2312" w:cs="DengXian-Regular" w:hint="eastAsia"/>
          <w:sz w:val="32"/>
          <w:szCs w:val="32"/>
        </w:rPr>
        <w:t>万元，占</w:t>
      </w:r>
      <w:r w:rsidR="00CC6A32">
        <w:rPr>
          <w:rFonts w:ascii="仿宋_GB2312" w:eastAsia="仿宋_GB2312" w:cs="DengXian-Regular" w:hint="eastAsia"/>
          <w:sz w:val="32"/>
          <w:szCs w:val="32"/>
        </w:rPr>
        <w:t>1.08</w:t>
      </w:r>
      <w:r>
        <w:rPr>
          <w:rFonts w:ascii="仿宋_GB2312" w:eastAsia="仿宋_GB2312" w:cs="DengXian-Regular" w:hint="eastAsia"/>
          <w:sz w:val="32"/>
          <w:szCs w:val="32"/>
        </w:rPr>
        <w:t>%；</w:t>
      </w:r>
      <w:r w:rsidR="007C4917" w:rsidRPr="007C4917">
        <w:rPr>
          <w:rFonts w:ascii="仿宋_GB2312" w:eastAsia="仿宋_GB2312" w:cs="DengXian-Regular" w:hint="eastAsia"/>
          <w:sz w:val="32"/>
          <w:szCs w:val="32"/>
        </w:rPr>
        <w:t>文化体育与传媒</w:t>
      </w:r>
      <w:r>
        <w:rPr>
          <w:rFonts w:ascii="仿宋_GB2312" w:eastAsia="仿宋_GB2312" w:cs="DengXian-Regular" w:hint="eastAsia"/>
          <w:sz w:val="32"/>
          <w:szCs w:val="32"/>
        </w:rPr>
        <w:t>（类）支出</w:t>
      </w:r>
      <w:r w:rsidR="007C4917">
        <w:rPr>
          <w:rFonts w:ascii="仿宋_GB2312" w:eastAsia="仿宋_GB2312" w:cs="DengXian-Regular" w:hint="eastAsia"/>
          <w:sz w:val="32"/>
          <w:szCs w:val="32"/>
        </w:rPr>
        <w:t>5</w:t>
      </w:r>
      <w:r>
        <w:rPr>
          <w:rFonts w:ascii="仿宋_GB2312" w:eastAsia="仿宋_GB2312" w:cs="DengXian-Regular" w:hint="eastAsia"/>
          <w:sz w:val="32"/>
          <w:szCs w:val="32"/>
        </w:rPr>
        <w:t>万元，占</w:t>
      </w:r>
      <w:r w:rsidR="00CC6A32">
        <w:rPr>
          <w:rFonts w:ascii="仿宋_GB2312" w:eastAsia="仿宋_GB2312" w:cs="DengXian-Regular" w:hint="eastAsia"/>
          <w:sz w:val="32"/>
          <w:szCs w:val="32"/>
        </w:rPr>
        <w:t>0.28</w:t>
      </w:r>
      <w:r>
        <w:rPr>
          <w:rFonts w:ascii="仿宋_GB2312" w:eastAsia="仿宋_GB2312" w:cs="DengXian-Regular" w:hint="eastAsia"/>
          <w:sz w:val="32"/>
          <w:szCs w:val="32"/>
        </w:rPr>
        <w:t xml:space="preserve">%；社会保障和就业（类）支出 </w:t>
      </w:r>
      <w:r w:rsidR="00CC6A32">
        <w:rPr>
          <w:rFonts w:ascii="仿宋_GB2312" w:eastAsia="仿宋_GB2312" w:cs="DengXian-Regular" w:hint="eastAsia"/>
          <w:sz w:val="32"/>
          <w:szCs w:val="32"/>
        </w:rPr>
        <w:t>6.6</w:t>
      </w:r>
      <w:r>
        <w:rPr>
          <w:rFonts w:ascii="仿宋_GB2312" w:eastAsia="仿宋_GB2312" w:cs="DengXian-Regular" w:hint="eastAsia"/>
          <w:sz w:val="32"/>
          <w:szCs w:val="32"/>
        </w:rPr>
        <w:t>万元，占</w:t>
      </w:r>
      <w:r w:rsidR="00CC6A32">
        <w:rPr>
          <w:rFonts w:ascii="仿宋_GB2312" w:eastAsia="仿宋_GB2312" w:cs="DengXian-Regular" w:hint="eastAsia"/>
          <w:sz w:val="32"/>
          <w:szCs w:val="32"/>
        </w:rPr>
        <w:t>0.37</w:t>
      </w:r>
      <w:r>
        <w:rPr>
          <w:rFonts w:ascii="仿宋_GB2312" w:eastAsia="仿宋_GB2312" w:cs="DengXian-Regular" w:hint="eastAsia"/>
          <w:sz w:val="32"/>
          <w:szCs w:val="32"/>
        </w:rPr>
        <w:t>%；</w:t>
      </w:r>
      <w:r w:rsidR="00CC6A32" w:rsidRPr="00CC6A32">
        <w:rPr>
          <w:rFonts w:ascii="仿宋_GB2312" w:eastAsia="仿宋_GB2312" w:cs="DengXian-Regular" w:hint="eastAsia"/>
          <w:sz w:val="32"/>
          <w:szCs w:val="32"/>
        </w:rPr>
        <w:t>节能环保</w:t>
      </w:r>
      <w:r w:rsidR="00CC6A32">
        <w:rPr>
          <w:rFonts w:ascii="仿宋_GB2312" w:eastAsia="仿宋_GB2312" w:cs="DengXian-Regular" w:hint="eastAsia"/>
          <w:sz w:val="32"/>
          <w:szCs w:val="32"/>
        </w:rPr>
        <w:t>（类）支出139.72万元，占 7.85%；</w:t>
      </w:r>
      <w:r w:rsidR="00CC6A32" w:rsidRPr="00CC6A32">
        <w:rPr>
          <w:rFonts w:ascii="仿宋_GB2312" w:eastAsia="仿宋_GB2312" w:cs="DengXian-Regular" w:hint="eastAsia"/>
          <w:sz w:val="32"/>
          <w:szCs w:val="32"/>
        </w:rPr>
        <w:t>城乡社区</w:t>
      </w:r>
      <w:r w:rsidR="00CC6A32">
        <w:rPr>
          <w:rFonts w:ascii="仿宋_GB2312" w:eastAsia="仿宋_GB2312" w:cs="DengXian-Regular" w:hint="eastAsia"/>
          <w:sz w:val="32"/>
          <w:szCs w:val="32"/>
        </w:rPr>
        <w:t>（类）支出351.97万元，占19.78%；</w:t>
      </w:r>
      <w:r w:rsidR="00CC6A32" w:rsidRPr="00CC6A32">
        <w:rPr>
          <w:rFonts w:ascii="仿宋_GB2312" w:eastAsia="仿宋_GB2312" w:cs="DengXian-Regular" w:hint="eastAsia"/>
          <w:sz w:val="32"/>
          <w:szCs w:val="32"/>
        </w:rPr>
        <w:t>农林水</w:t>
      </w:r>
      <w:r w:rsidR="00CC6A32">
        <w:rPr>
          <w:rFonts w:ascii="仿宋_GB2312" w:eastAsia="仿宋_GB2312" w:cs="DengXian-Regular" w:hint="eastAsia"/>
          <w:sz w:val="32"/>
          <w:szCs w:val="32"/>
        </w:rPr>
        <w:t>（类）支出230.62万元，占 12.96%；其他</w:t>
      </w:r>
      <w:r>
        <w:rPr>
          <w:rFonts w:ascii="仿宋_GB2312" w:eastAsia="仿宋_GB2312" w:cs="DengXian-Regular" w:hint="eastAsia"/>
          <w:sz w:val="32"/>
          <w:szCs w:val="32"/>
        </w:rPr>
        <w:t>（类）支出</w:t>
      </w:r>
      <w:r w:rsidR="00CC6A32">
        <w:rPr>
          <w:rFonts w:ascii="仿宋_GB2312" w:eastAsia="仿宋_GB2312" w:cs="DengXian-Regular" w:hint="eastAsia"/>
          <w:sz w:val="32"/>
          <w:szCs w:val="32"/>
        </w:rPr>
        <w:t>103</w:t>
      </w:r>
      <w:r>
        <w:rPr>
          <w:rFonts w:ascii="仿宋_GB2312" w:eastAsia="仿宋_GB2312" w:cs="DengXian-Regular" w:hint="eastAsia"/>
          <w:sz w:val="32"/>
          <w:szCs w:val="32"/>
        </w:rPr>
        <w:t>万元，占</w:t>
      </w:r>
      <w:r w:rsidR="00CC6A32">
        <w:rPr>
          <w:rFonts w:ascii="仿宋_GB2312" w:eastAsia="仿宋_GB2312" w:cs="DengXian-Regular" w:hint="eastAsia"/>
          <w:sz w:val="32"/>
          <w:szCs w:val="32"/>
        </w:rPr>
        <w:t>5.79</w:t>
      </w:r>
      <w:r>
        <w:rPr>
          <w:rFonts w:ascii="仿宋_GB2312" w:eastAsia="仿宋_GB2312" w:cs="DengXian-Regular" w:hint="eastAsia"/>
          <w:sz w:val="32"/>
          <w:szCs w:val="32"/>
        </w:rPr>
        <w:t>%。</w:t>
      </w:r>
    </w:p>
    <w:p w:rsidR="00922797" w:rsidRPr="00CC6A32" w:rsidRDefault="00922797">
      <w:pPr>
        <w:adjustRightInd w:val="0"/>
        <w:snapToGrid w:val="0"/>
        <w:spacing w:after="0" w:line="580" w:lineRule="exact"/>
        <w:ind w:firstLineChars="200" w:firstLine="640"/>
        <w:rPr>
          <w:rFonts w:ascii="仿宋_GB2312" w:eastAsia="仿宋_GB2312" w:cs="DengXian-Regular"/>
          <w:sz w:val="32"/>
          <w:szCs w:val="32"/>
        </w:rPr>
      </w:pPr>
    </w:p>
    <w:p w:rsidR="00922797" w:rsidRDefault="00922797">
      <w:pPr>
        <w:adjustRightInd w:val="0"/>
        <w:snapToGrid w:val="0"/>
        <w:spacing w:after="0" w:line="580" w:lineRule="exact"/>
        <w:ind w:firstLineChars="200" w:firstLine="640"/>
        <w:rPr>
          <w:rFonts w:ascii="仿宋_GB2312" w:eastAsia="仿宋_GB2312" w:cs="DengXian-Regular"/>
          <w:sz w:val="32"/>
          <w:szCs w:val="32"/>
        </w:rPr>
      </w:pPr>
    </w:p>
    <w:p w:rsidR="00922797" w:rsidRDefault="00922797">
      <w:pPr>
        <w:adjustRightInd w:val="0"/>
        <w:snapToGrid w:val="0"/>
        <w:spacing w:after="0" w:line="580" w:lineRule="exact"/>
        <w:ind w:firstLineChars="200" w:firstLine="640"/>
        <w:rPr>
          <w:rFonts w:ascii="仿宋_GB2312" w:eastAsia="仿宋_GB2312" w:cs="DengXian-Regular"/>
          <w:sz w:val="32"/>
          <w:szCs w:val="32"/>
        </w:rPr>
      </w:pPr>
    </w:p>
    <w:p w:rsidR="007C4917" w:rsidRDefault="007C4917">
      <w:pPr>
        <w:adjustRightInd w:val="0"/>
        <w:snapToGrid w:val="0"/>
        <w:spacing w:after="0" w:line="580" w:lineRule="exact"/>
        <w:ind w:firstLineChars="200" w:firstLine="640"/>
        <w:rPr>
          <w:rFonts w:ascii="仿宋_GB2312" w:eastAsia="仿宋_GB2312" w:cs="DengXian-Regular"/>
          <w:sz w:val="32"/>
          <w:szCs w:val="32"/>
        </w:rPr>
      </w:pPr>
    </w:p>
    <w:p w:rsidR="007C4917" w:rsidRDefault="007C4917">
      <w:pPr>
        <w:adjustRightInd w:val="0"/>
        <w:snapToGrid w:val="0"/>
        <w:spacing w:after="0" w:line="580" w:lineRule="exact"/>
        <w:ind w:firstLineChars="200" w:firstLine="640"/>
        <w:rPr>
          <w:rFonts w:ascii="仿宋_GB2312" w:eastAsia="仿宋_GB2312" w:cs="DengXian-Regular"/>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633"/>
        <w:gridCol w:w="353"/>
        <w:gridCol w:w="275"/>
        <w:gridCol w:w="634"/>
        <w:gridCol w:w="78"/>
        <w:gridCol w:w="21"/>
        <w:gridCol w:w="965"/>
        <w:gridCol w:w="987"/>
        <w:gridCol w:w="987"/>
        <w:gridCol w:w="987"/>
        <w:gridCol w:w="987"/>
        <w:gridCol w:w="987"/>
        <w:gridCol w:w="980"/>
      </w:tblGrid>
      <w:tr w:rsidR="00EF752B" w:rsidTr="00EF752B">
        <w:trPr>
          <w:trHeight w:val="286"/>
        </w:trPr>
        <w:tc>
          <w:tcPr>
            <w:tcW w:w="357" w:type="pct"/>
          </w:tcPr>
          <w:p w:rsidR="00EF752B" w:rsidRDefault="00EF752B" w:rsidP="00EF752B">
            <w:pPr>
              <w:widowControl/>
              <w:textAlignment w:val="center"/>
              <w:rPr>
                <w:rFonts w:ascii="宋体" w:hAnsi="宋体" w:cs="宋体"/>
                <w:color w:val="000000"/>
                <w:kern w:val="0"/>
                <w:sz w:val="24"/>
                <w:lang w:bidi="ar"/>
              </w:rPr>
            </w:pPr>
          </w:p>
        </w:tc>
        <w:tc>
          <w:tcPr>
            <w:tcW w:w="354" w:type="pct"/>
            <w:gridSpan w:val="2"/>
          </w:tcPr>
          <w:p w:rsidR="00EF752B" w:rsidRDefault="00EF752B" w:rsidP="00EF752B">
            <w:pPr>
              <w:widowControl/>
              <w:textAlignment w:val="center"/>
              <w:rPr>
                <w:rFonts w:ascii="宋体" w:hAnsi="宋体" w:cs="宋体"/>
                <w:color w:val="000000"/>
                <w:kern w:val="0"/>
                <w:sz w:val="24"/>
                <w:lang w:bidi="ar"/>
              </w:rPr>
            </w:pPr>
          </w:p>
        </w:tc>
        <w:tc>
          <w:tcPr>
            <w:tcW w:w="357" w:type="pct"/>
          </w:tcPr>
          <w:p w:rsidR="00EF752B" w:rsidRDefault="00EF752B" w:rsidP="00EF752B">
            <w:pPr>
              <w:widowControl/>
              <w:textAlignment w:val="center"/>
              <w:rPr>
                <w:rFonts w:ascii="宋体" w:hAnsi="宋体" w:cs="宋体"/>
                <w:color w:val="000000"/>
                <w:kern w:val="0"/>
                <w:sz w:val="24"/>
                <w:lang w:bidi="ar"/>
              </w:rPr>
            </w:pPr>
          </w:p>
        </w:tc>
        <w:tc>
          <w:tcPr>
            <w:tcW w:w="56" w:type="pct"/>
            <w:gridSpan w:val="2"/>
          </w:tcPr>
          <w:p w:rsidR="00EF752B" w:rsidRDefault="00EF752B">
            <w:pPr>
              <w:widowControl/>
              <w:jc w:val="center"/>
              <w:textAlignment w:val="center"/>
              <w:rPr>
                <w:rFonts w:ascii="宋体" w:hAnsi="宋体" w:cs="宋体"/>
                <w:color w:val="000000"/>
                <w:kern w:val="0"/>
                <w:sz w:val="24"/>
                <w:lang w:bidi="ar"/>
              </w:rPr>
            </w:pPr>
          </w:p>
        </w:tc>
        <w:tc>
          <w:tcPr>
            <w:tcW w:w="3876" w:type="pct"/>
            <w:gridSpan w:val="7"/>
            <w:shd w:val="clear" w:color="auto" w:fill="auto"/>
            <w:vAlign w:val="center"/>
          </w:tcPr>
          <w:p w:rsidR="00EF752B" w:rsidRDefault="00EF752B" w:rsidP="00EF752B">
            <w:pPr>
              <w:widowControl/>
              <w:textAlignment w:val="center"/>
              <w:rPr>
                <w:rFonts w:ascii="宋体" w:hAnsi="宋体" w:cs="宋体"/>
                <w:color w:val="000000"/>
                <w:sz w:val="24"/>
              </w:rPr>
            </w:pPr>
            <w:r>
              <w:rPr>
                <w:rFonts w:ascii="宋体" w:hAnsi="宋体" w:cs="宋体" w:hint="eastAsia"/>
                <w:color w:val="000000"/>
                <w:kern w:val="0"/>
                <w:sz w:val="24"/>
                <w:lang w:bidi="ar"/>
              </w:rPr>
              <w:t>表5：财政拨款支出决算结构（按功能分类）</w:t>
            </w:r>
          </w:p>
        </w:tc>
      </w:tr>
      <w:tr w:rsidR="00EF752B" w:rsidRPr="00EF752B" w:rsidTr="00EF752B">
        <w:trPr>
          <w:trHeight w:val="286"/>
        </w:trPr>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pPr>
              <w:widowControl/>
              <w:jc w:val="center"/>
              <w:textAlignment w:val="center"/>
              <w:rPr>
                <w:rFonts w:ascii="宋体" w:hAnsi="宋体" w:cs="宋体"/>
                <w:color w:val="000000"/>
                <w:sz w:val="20"/>
                <w:szCs w:val="20"/>
              </w:rPr>
            </w:pPr>
            <w:r w:rsidRPr="00EF752B">
              <w:rPr>
                <w:rFonts w:ascii="宋体" w:hAnsi="宋体" w:cs="宋体" w:hint="eastAsia"/>
                <w:color w:val="000000"/>
                <w:kern w:val="0"/>
                <w:sz w:val="20"/>
                <w:szCs w:val="20"/>
                <w:lang w:bidi="ar"/>
              </w:rPr>
              <w:t>项目</w:t>
            </w:r>
          </w:p>
        </w:tc>
        <w:tc>
          <w:tcPr>
            <w:tcW w:w="556" w:type="pct"/>
            <w:gridSpan w:val="3"/>
            <w:tcBorders>
              <w:top w:val="single" w:sz="4" w:space="0" w:color="000000"/>
              <w:left w:val="single" w:sz="4" w:space="0" w:color="000000"/>
              <w:bottom w:val="single" w:sz="4" w:space="0" w:color="000000"/>
              <w:right w:val="single" w:sz="4" w:space="0" w:color="000000"/>
            </w:tcBorders>
          </w:tcPr>
          <w:p w:rsidR="00EF752B" w:rsidRPr="00EF752B" w:rsidRDefault="00EF752B">
            <w:pPr>
              <w:widowControl/>
              <w:jc w:val="center"/>
              <w:textAlignment w:val="center"/>
              <w:rPr>
                <w:rFonts w:ascii="宋体" w:hAnsi="宋体" w:cs="宋体"/>
                <w:color w:val="000000"/>
                <w:kern w:val="0"/>
                <w:sz w:val="20"/>
                <w:szCs w:val="20"/>
                <w:lang w:bidi="ar"/>
              </w:rPr>
            </w:pPr>
            <w:r w:rsidRPr="00EF752B">
              <w:rPr>
                <w:rFonts w:ascii="宋体" w:hAnsi="宋体" w:cs="DengXian-Regular" w:hint="eastAsia"/>
                <w:sz w:val="20"/>
                <w:szCs w:val="20"/>
              </w:rPr>
              <w:t>一般公共服务（类）支出</w:t>
            </w:r>
          </w:p>
        </w:tc>
        <w:tc>
          <w:tcPr>
            <w:tcW w:w="556" w:type="pct"/>
            <w:gridSpan w:val="2"/>
            <w:tcBorders>
              <w:top w:val="single" w:sz="4" w:space="0" w:color="000000"/>
              <w:left w:val="single" w:sz="4" w:space="0" w:color="000000"/>
              <w:bottom w:val="single" w:sz="4" w:space="0" w:color="000000"/>
              <w:right w:val="single" w:sz="4" w:space="0" w:color="000000"/>
            </w:tcBorders>
          </w:tcPr>
          <w:p w:rsidR="00EF752B" w:rsidRPr="00EF752B" w:rsidRDefault="00EF752B">
            <w:pPr>
              <w:widowControl/>
              <w:jc w:val="center"/>
              <w:textAlignment w:val="center"/>
              <w:rPr>
                <w:rFonts w:ascii="宋体" w:hAnsi="宋体" w:cs="宋体"/>
                <w:color w:val="000000"/>
                <w:kern w:val="0"/>
                <w:sz w:val="20"/>
                <w:szCs w:val="20"/>
                <w:lang w:bidi="ar"/>
              </w:rPr>
            </w:pPr>
            <w:r w:rsidRPr="00EF752B">
              <w:rPr>
                <w:rFonts w:ascii="宋体" w:hAnsi="宋体" w:cs="DengXian-Regular" w:hint="eastAsia"/>
                <w:sz w:val="20"/>
                <w:szCs w:val="20"/>
              </w:rPr>
              <w:t>公共安全（类）支出</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t>文化体育与传媒（类）支出</w:t>
            </w:r>
          </w:p>
        </w:tc>
        <w:tc>
          <w:tcPr>
            <w:tcW w:w="556" w:type="pct"/>
            <w:tcBorders>
              <w:top w:val="single" w:sz="4" w:space="0" w:color="000000"/>
              <w:left w:val="single" w:sz="4" w:space="0" w:color="000000"/>
              <w:bottom w:val="single" w:sz="4" w:space="0" w:color="000000"/>
              <w:right w:val="single" w:sz="4" w:space="0" w:color="000000"/>
            </w:tcBorders>
          </w:tcPr>
          <w:p w:rsidR="00EF752B" w:rsidRPr="00EF752B" w:rsidRDefault="00EF752B">
            <w:pPr>
              <w:widowControl/>
              <w:jc w:val="center"/>
              <w:textAlignment w:val="center"/>
              <w:rPr>
                <w:rFonts w:ascii="宋体" w:hAnsi="宋体" w:cs="宋体"/>
                <w:color w:val="000000"/>
                <w:kern w:val="0"/>
                <w:sz w:val="20"/>
                <w:szCs w:val="20"/>
                <w:lang w:bidi="ar"/>
              </w:rPr>
            </w:pPr>
            <w:r w:rsidRPr="00EF752B">
              <w:rPr>
                <w:rFonts w:ascii="宋体" w:hAnsi="宋体" w:cs="DengXian-Regular" w:hint="eastAsia"/>
                <w:sz w:val="20"/>
                <w:szCs w:val="20"/>
              </w:rPr>
              <w:t>社会保障和就业（类）支出</w:t>
            </w:r>
          </w:p>
        </w:tc>
        <w:tc>
          <w:tcPr>
            <w:tcW w:w="556" w:type="pct"/>
            <w:tcBorders>
              <w:top w:val="single" w:sz="4" w:space="0" w:color="000000"/>
              <w:left w:val="single" w:sz="4" w:space="0" w:color="000000"/>
              <w:bottom w:val="single" w:sz="4" w:space="0" w:color="000000"/>
              <w:right w:val="single" w:sz="4" w:space="0" w:color="000000"/>
            </w:tcBorders>
          </w:tcPr>
          <w:p w:rsidR="00EF752B" w:rsidRPr="00EF752B" w:rsidRDefault="00EF752B">
            <w:pPr>
              <w:widowControl/>
              <w:jc w:val="center"/>
              <w:textAlignment w:val="center"/>
              <w:rPr>
                <w:rFonts w:ascii="宋体" w:hAnsi="宋体" w:cs="宋体"/>
                <w:color w:val="000000"/>
                <w:kern w:val="0"/>
                <w:sz w:val="20"/>
                <w:szCs w:val="20"/>
                <w:lang w:bidi="ar"/>
              </w:rPr>
            </w:pPr>
            <w:r w:rsidRPr="00EF752B">
              <w:rPr>
                <w:rFonts w:ascii="宋体" w:hAnsi="宋体" w:cs="DengXian-Regular" w:hint="eastAsia"/>
                <w:sz w:val="20"/>
                <w:szCs w:val="20"/>
              </w:rPr>
              <w:t>节能环保（类）支出</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t>城乡社区（类）支出</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t>农林水（类）支出</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t>其他（类）支出</w:t>
            </w:r>
          </w:p>
        </w:tc>
      </w:tr>
      <w:tr w:rsidR="00EF752B" w:rsidRPr="00EF752B" w:rsidTr="00EF752B">
        <w:trPr>
          <w:trHeight w:val="286"/>
        </w:trPr>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widowControl/>
              <w:jc w:val="center"/>
              <w:textAlignment w:val="center"/>
              <w:rPr>
                <w:rFonts w:ascii="宋体" w:hAnsi="宋体" w:cs="宋体"/>
                <w:color w:val="000000"/>
                <w:sz w:val="20"/>
                <w:szCs w:val="20"/>
              </w:rPr>
            </w:pPr>
            <w:r w:rsidRPr="00EF752B">
              <w:rPr>
                <w:rFonts w:ascii="宋体" w:hAnsi="宋体" w:cs="宋体" w:hint="eastAsia"/>
                <w:color w:val="000000"/>
                <w:kern w:val="0"/>
                <w:sz w:val="20"/>
                <w:szCs w:val="20"/>
                <w:lang w:bidi="ar"/>
              </w:rPr>
              <w:t>金额（万元）</w:t>
            </w:r>
          </w:p>
        </w:tc>
        <w:tc>
          <w:tcPr>
            <w:tcW w:w="556" w:type="pct"/>
            <w:gridSpan w:val="3"/>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923.49</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19.23</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5</w:t>
            </w:r>
          </w:p>
        </w:tc>
        <w:tc>
          <w:tcPr>
            <w:tcW w:w="556" w:type="pct"/>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6.6</w:t>
            </w:r>
          </w:p>
        </w:tc>
        <w:tc>
          <w:tcPr>
            <w:tcW w:w="556" w:type="pct"/>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139.72</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351.97</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230.62</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103</w:t>
            </w:r>
          </w:p>
        </w:tc>
      </w:tr>
      <w:tr w:rsidR="00EF752B" w:rsidRPr="00EF752B" w:rsidTr="00EF752B">
        <w:trPr>
          <w:trHeight w:val="286"/>
        </w:trPr>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widowControl/>
              <w:jc w:val="center"/>
              <w:textAlignment w:val="center"/>
              <w:rPr>
                <w:rFonts w:ascii="宋体" w:hAnsi="宋体" w:cs="宋体"/>
                <w:color w:val="000000"/>
                <w:sz w:val="20"/>
                <w:szCs w:val="20"/>
              </w:rPr>
            </w:pPr>
            <w:r w:rsidRPr="00EF752B">
              <w:rPr>
                <w:rFonts w:ascii="宋体" w:hAnsi="宋体" w:cs="宋体" w:hint="eastAsia"/>
                <w:color w:val="000000"/>
                <w:kern w:val="0"/>
                <w:sz w:val="20"/>
                <w:szCs w:val="20"/>
                <w:lang w:bidi="ar"/>
              </w:rPr>
              <w:t>占比（%）</w:t>
            </w:r>
          </w:p>
        </w:tc>
        <w:tc>
          <w:tcPr>
            <w:tcW w:w="556" w:type="pct"/>
            <w:gridSpan w:val="3"/>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51.89</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1.08</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0.28</w:t>
            </w:r>
          </w:p>
        </w:tc>
        <w:tc>
          <w:tcPr>
            <w:tcW w:w="556" w:type="pct"/>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0.37</w:t>
            </w:r>
          </w:p>
        </w:tc>
        <w:tc>
          <w:tcPr>
            <w:tcW w:w="556" w:type="pct"/>
            <w:tcBorders>
              <w:top w:val="single" w:sz="4" w:space="0" w:color="000000"/>
              <w:left w:val="single" w:sz="4" w:space="0" w:color="000000"/>
              <w:bottom w:val="single" w:sz="4" w:space="0" w:color="000000"/>
              <w:right w:val="single" w:sz="4" w:space="0" w:color="000000"/>
            </w:tcBorders>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7.85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19.78</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12.96</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752B" w:rsidRPr="00EF752B" w:rsidRDefault="00EF752B" w:rsidP="00EF752B">
            <w:pPr>
              <w:jc w:val="center"/>
              <w:rPr>
                <w:rFonts w:ascii="宋体" w:hAnsi="宋体" w:cs="宋体"/>
                <w:color w:val="000000"/>
                <w:sz w:val="20"/>
                <w:szCs w:val="20"/>
              </w:rPr>
            </w:pPr>
            <w:r>
              <w:rPr>
                <w:rFonts w:ascii="宋体" w:hAnsi="宋体" w:cs="宋体" w:hint="eastAsia"/>
                <w:color w:val="000000"/>
                <w:sz w:val="20"/>
                <w:szCs w:val="20"/>
              </w:rPr>
              <w:t>5.79</w:t>
            </w:r>
          </w:p>
        </w:tc>
      </w:tr>
    </w:tbl>
    <w:p w:rsidR="00922797" w:rsidRDefault="00922797">
      <w:pPr>
        <w:adjustRightInd w:val="0"/>
        <w:snapToGrid w:val="0"/>
        <w:spacing w:after="0" w:line="580" w:lineRule="exact"/>
        <w:ind w:leftChars="200" w:left="420"/>
        <w:rPr>
          <w:rFonts w:ascii="仿宋_GB2312" w:eastAsia="仿宋_GB2312" w:cs="DengXian-Regular"/>
          <w:sz w:val="32"/>
          <w:szCs w:val="32"/>
          <w:highlight w:val="yellow"/>
        </w:rPr>
      </w:pPr>
    </w:p>
    <w:p w:rsidR="00922797" w:rsidRDefault="000A2777">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sidR="00494178">
        <w:rPr>
          <w:rFonts w:ascii="仿宋_GB2312" w:eastAsia="仿宋_GB2312" w:cs="DengXian-Regular" w:hint="eastAsia"/>
          <w:sz w:val="32"/>
          <w:szCs w:val="32"/>
        </w:rPr>
        <w:t>832.68</w:t>
      </w:r>
      <w:r>
        <w:rPr>
          <w:rFonts w:ascii="仿宋_GB2312" w:eastAsia="仿宋_GB2312" w:cs="DengXian-Regular" w:hint="eastAsia"/>
          <w:sz w:val="32"/>
          <w:szCs w:val="32"/>
        </w:rPr>
        <w:t>万元，其中：人员经费</w:t>
      </w:r>
      <w:r w:rsidR="00494178">
        <w:rPr>
          <w:rFonts w:ascii="仿宋_GB2312" w:eastAsia="仿宋_GB2312" w:cs="DengXian-Regular" w:hint="eastAsia"/>
          <w:sz w:val="32"/>
          <w:szCs w:val="32"/>
        </w:rPr>
        <w:t>732.61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494178">
        <w:rPr>
          <w:rFonts w:ascii="仿宋_GB2312" w:eastAsia="仿宋_GB2312" w:cs="DengXian-Regular" w:hint="eastAsia"/>
          <w:sz w:val="32"/>
          <w:szCs w:val="32"/>
        </w:rPr>
        <w:t>100.07</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w:t>
      </w:r>
      <w:r>
        <w:rPr>
          <w:rFonts w:ascii="仿宋_GB2312" w:eastAsia="仿宋_GB2312" w:cs="DengXian-Regular" w:hint="eastAsia"/>
          <w:sz w:val="32"/>
          <w:szCs w:val="32"/>
        </w:rPr>
        <w:lastRenderedPageBreak/>
        <w:t>费、委托业务费、工会经费、福利费、公务用车运行维护费、其他交通费用、税金及附加费用、其他商品和服务支出、办公设备购置、专用设备购置、信息网络及软件购置更新、公务用车购置、其他资本性支出等。</w:t>
      </w: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922797" w:rsidRDefault="000A2777">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sidR="002C2B20">
        <w:rPr>
          <w:rFonts w:eastAsia="仿宋_GB2312" w:hint="eastAsia"/>
          <w:sz w:val="32"/>
          <w:szCs w:val="32"/>
        </w:rPr>
        <w:t>7.5</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sidR="002C2B20">
        <w:rPr>
          <w:rFonts w:eastAsia="仿宋_GB2312" w:hint="eastAsia"/>
          <w:sz w:val="32"/>
          <w:szCs w:val="32"/>
        </w:rPr>
        <w:t>1.26</w:t>
      </w:r>
      <w:r>
        <w:rPr>
          <w:rFonts w:eastAsia="仿宋_GB2312"/>
          <w:sz w:val="32"/>
          <w:szCs w:val="32"/>
        </w:rPr>
        <w:t>万元，降低</w:t>
      </w:r>
      <w:r w:rsidR="002C2B20">
        <w:rPr>
          <w:rFonts w:eastAsia="仿宋_GB2312" w:hint="eastAsia"/>
          <w:sz w:val="32"/>
          <w:szCs w:val="32"/>
        </w:rPr>
        <w:t>15.25</w:t>
      </w:r>
      <w:r>
        <w:rPr>
          <w:rFonts w:eastAsia="仿宋_GB2312"/>
          <w:sz w:val="32"/>
          <w:szCs w:val="32"/>
        </w:rPr>
        <w:t>%</w:t>
      </w:r>
      <w:r>
        <w:rPr>
          <w:rFonts w:eastAsia="仿宋_GB2312"/>
          <w:sz w:val="32"/>
          <w:szCs w:val="32"/>
        </w:rPr>
        <w:t>，主要是</w:t>
      </w:r>
      <w:r w:rsidR="002C2B20">
        <w:rPr>
          <w:rFonts w:eastAsia="仿宋_GB2312" w:hint="eastAsia"/>
          <w:sz w:val="32"/>
          <w:szCs w:val="32"/>
        </w:rPr>
        <w:t>我单位没有发生公务接待费用支出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sidR="002C2B20">
        <w:rPr>
          <w:rFonts w:eastAsia="仿宋_GB2312" w:hint="eastAsia"/>
          <w:sz w:val="32"/>
          <w:szCs w:val="32"/>
        </w:rPr>
        <w:t>0.02</w:t>
      </w:r>
      <w:r>
        <w:rPr>
          <w:rFonts w:eastAsia="仿宋_GB2312"/>
          <w:sz w:val="32"/>
          <w:szCs w:val="32"/>
        </w:rPr>
        <w:t>万元，增长</w:t>
      </w:r>
      <w:r w:rsidR="002C2B20">
        <w:rPr>
          <w:rFonts w:eastAsia="仿宋_GB2312" w:hint="eastAsia"/>
          <w:sz w:val="32"/>
          <w:szCs w:val="32"/>
        </w:rPr>
        <w:t>0.27</w:t>
      </w:r>
      <w:r>
        <w:rPr>
          <w:rFonts w:eastAsia="仿宋_GB2312"/>
          <w:sz w:val="32"/>
          <w:szCs w:val="32"/>
        </w:rPr>
        <w:t>%</w:t>
      </w:r>
      <w:r>
        <w:rPr>
          <w:rFonts w:eastAsia="仿宋_GB2312"/>
          <w:sz w:val="32"/>
          <w:szCs w:val="32"/>
        </w:rPr>
        <w:t>，主要是</w:t>
      </w:r>
      <w:r w:rsidR="002C2B20">
        <w:rPr>
          <w:rFonts w:eastAsia="仿宋_GB2312" w:hint="eastAsia"/>
          <w:sz w:val="32"/>
          <w:szCs w:val="32"/>
        </w:rPr>
        <w:t>公务用车运行维护费用增加</w:t>
      </w:r>
      <w:r>
        <w:rPr>
          <w:rFonts w:eastAsia="仿宋_GB2312"/>
          <w:sz w:val="32"/>
          <w:szCs w:val="32"/>
        </w:rPr>
        <w:t>。具体情况如下：</w:t>
      </w:r>
    </w:p>
    <w:p w:rsidR="00922797" w:rsidRPr="00E32A1A" w:rsidRDefault="000A2777">
      <w:pPr>
        <w:adjustRightInd w:val="0"/>
        <w:snapToGrid w:val="0"/>
        <w:spacing w:line="584" w:lineRule="exact"/>
        <w:ind w:firstLineChars="200" w:firstLine="643"/>
        <w:rPr>
          <w:rFonts w:eastAsia="仿宋_GB2312"/>
          <w:sz w:val="32"/>
          <w:szCs w:val="32"/>
        </w:rPr>
      </w:pPr>
      <w:r w:rsidRPr="00E32A1A">
        <w:rPr>
          <w:rFonts w:eastAsia="楷体_GB2312"/>
          <w:b/>
          <w:bCs/>
          <w:sz w:val="32"/>
          <w:szCs w:val="32"/>
        </w:rPr>
        <w:t>（一）因公出国（境）费支出</w:t>
      </w:r>
      <w:r w:rsidR="009D04AC" w:rsidRPr="00E32A1A">
        <w:rPr>
          <w:rFonts w:eastAsia="楷体_GB2312" w:hint="eastAsia"/>
          <w:b/>
          <w:bCs/>
          <w:sz w:val="32"/>
          <w:szCs w:val="32"/>
        </w:rPr>
        <w:t>0</w:t>
      </w:r>
      <w:r w:rsidRPr="00E32A1A">
        <w:rPr>
          <w:rFonts w:eastAsia="楷体_GB2312"/>
          <w:b/>
          <w:bCs/>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年度</w:t>
      </w:r>
      <w:r w:rsidRPr="00E32A1A">
        <w:rPr>
          <w:rFonts w:ascii="仿宋_GB2312" w:eastAsia="仿宋_GB2312" w:cs="DengXian-Regular" w:hint="eastAsia"/>
          <w:sz w:val="32"/>
          <w:szCs w:val="32"/>
        </w:rPr>
        <w:t>因公出国（境）团组</w:t>
      </w:r>
      <w:r w:rsidR="002C2B20"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个、共</w:t>
      </w:r>
      <w:r w:rsidR="002C2B20"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人</w:t>
      </w:r>
      <w:r w:rsidR="009D04AC" w:rsidRPr="00E32A1A">
        <w:rPr>
          <w:rFonts w:ascii="仿宋_GB2312" w:eastAsia="仿宋_GB2312" w:cs="DengXian-Regular" w:hint="eastAsia"/>
          <w:sz w:val="32"/>
          <w:szCs w:val="32"/>
        </w:rPr>
        <w:t>、</w:t>
      </w:r>
      <w:r w:rsidRPr="00E32A1A">
        <w:rPr>
          <w:rFonts w:ascii="仿宋_GB2312" w:eastAsia="仿宋_GB2312" w:cs="DengXian-Regular" w:hint="eastAsia"/>
          <w:sz w:val="32"/>
          <w:szCs w:val="32"/>
        </w:rPr>
        <w:t>参加其他单位组织的因公出国（境）团组</w:t>
      </w:r>
      <w:r w:rsidR="009D04AC"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个、共</w:t>
      </w:r>
      <w:r w:rsidR="009D04AC"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人</w:t>
      </w:r>
      <w:r w:rsidR="009D04AC" w:rsidRPr="00E32A1A">
        <w:rPr>
          <w:rFonts w:ascii="仿宋_GB2312" w:eastAsia="仿宋_GB2312" w:cs="DengXian-Regular" w:hint="eastAsia"/>
          <w:sz w:val="32"/>
          <w:szCs w:val="32"/>
        </w:rPr>
        <w:t>、</w:t>
      </w:r>
      <w:r w:rsidRPr="00E32A1A">
        <w:rPr>
          <w:rFonts w:ascii="仿宋_GB2312" w:eastAsia="仿宋_GB2312" w:cs="DengXian-Regular" w:hint="eastAsia"/>
          <w:sz w:val="32"/>
          <w:szCs w:val="32"/>
        </w:rPr>
        <w:t>无本单位组织的出国（境）团组。</w:t>
      </w:r>
      <w:r w:rsidR="00E32A1A" w:rsidRPr="00E32A1A">
        <w:rPr>
          <w:rFonts w:eastAsia="仿宋_GB2312"/>
          <w:color w:val="000000"/>
          <w:sz w:val="32"/>
          <w:szCs w:val="32"/>
        </w:rPr>
        <w:t>未发生</w:t>
      </w:r>
      <w:r w:rsidR="00E32A1A" w:rsidRPr="00E32A1A">
        <w:rPr>
          <w:rFonts w:eastAsia="仿宋_GB2312" w:hint="eastAsia"/>
          <w:color w:val="000000"/>
          <w:sz w:val="32"/>
          <w:szCs w:val="32"/>
        </w:rPr>
        <w:t>因公出国（境）费</w:t>
      </w:r>
      <w:r w:rsidR="00E32A1A" w:rsidRPr="00E32A1A">
        <w:rPr>
          <w:rFonts w:eastAsia="仿宋_GB2312"/>
          <w:color w:val="000000"/>
          <w:sz w:val="32"/>
          <w:szCs w:val="32"/>
        </w:rPr>
        <w:t>支出</w:t>
      </w:r>
      <w:r w:rsidR="00E32A1A" w:rsidRPr="00E32A1A">
        <w:rPr>
          <w:rFonts w:eastAsia="仿宋_GB2312" w:hint="eastAsia"/>
          <w:color w:val="000000"/>
          <w:sz w:val="32"/>
          <w:szCs w:val="32"/>
        </w:rPr>
        <w:t>，</w:t>
      </w:r>
      <w:r w:rsidR="009D04AC" w:rsidRPr="00E32A1A">
        <w:rPr>
          <w:rFonts w:eastAsia="仿宋_GB2312"/>
          <w:color w:val="000000"/>
          <w:sz w:val="32"/>
          <w:szCs w:val="32"/>
        </w:rPr>
        <w:t>较年初预算无增减变化</w:t>
      </w:r>
      <w:r w:rsidRPr="00E32A1A">
        <w:rPr>
          <w:rFonts w:eastAsia="仿宋_GB2312"/>
          <w:sz w:val="32"/>
          <w:szCs w:val="32"/>
        </w:rPr>
        <w:t>；</w:t>
      </w:r>
      <w:r w:rsidR="00E32A1A" w:rsidRPr="00E32A1A">
        <w:rPr>
          <w:rFonts w:eastAsia="仿宋_GB2312"/>
          <w:color w:val="000000"/>
          <w:sz w:val="32"/>
          <w:szCs w:val="32"/>
        </w:rPr>
        <w:t>未发生</w:t>
      </w:r>
      <w:r w:rsidR="00E32A1A" w:rsidRPr="00E32A1A">
        <w:rPr>
          <w:rFonts w:eastAsia="仿宋_GB2312" w:hint="eastAsia"/>
          <w:color w:val="000000"/>
          <w:sz w:val="32"/>
          <w:szCs w:val="32"/>
        </w:rPr>
        <w:t>因公出国（境）费</w:t>
      </w:r>
      <w:r w:rsidR="00E32A1A" w:rsidRPr="00E32A1A">
        <w:rPr>
          <w:rFonts w:eastAsia="仿宋_GB2312"/>
          <w:color w:val="000000"/>
          <w:sz w:val="32"/>
          <w:szCs w:val="32"/>
        </w:rPr>
        <w:t>支出</w:t>
      </w:r>
      <w:r w:rsidR="00E32A1A" w:rsidRPr="00E32A1A">
        <w:rPr>
          <w:rFonts w:eastAsia="仿宋_GB2312" w:hint="eastAsia"/>
          <w:color w:val="000000"/>
          <w:sz w:val="32"/>
          <w:szCs w:val="32"/>
        </w:rPr>
        <w:t>，</w:t>
      </w:r>
      <w:r w:rsidR="009D04AC" w:rsidRPr="00E32A1A">
        <w:rPr>
          <w:rFonts w:eastAsia="仿宋_GB2312"/>
          <w:color w:val="000000"/>
          <w:sz w:val="32"/>
          <w:szCs w:val="32"/>
        </w:rPr>
        <w:t>较</w:t>
      </w:r>
      <w:r w:rsidR="009D04AC" w:rsidRPr="00E32A1A">
        <w:rPr>
          <w:rFonts w:eastAsia="仿宋_GB2312"/>
          <w:color w:val="000000"/>
          <w:sz w:val="32"/>
          <w:szCs w:val="32"/>
        </w:rPr>
        <w:t>201</w:t>
      </w:r>
      <w:r w:rsidR="009D04AC" w:rsidRPr="00E32A1A">
        <w:rPr>
          <w:rFonts w:eastAsia="仿宋_GB2312" w:hint="eastAsia"/>
          <w:color w:val="000000"/>
          <w:sz w:val="32"/>
          <w:szCs w:val="32"/>
        </w:rPr>
        <w:t>7</w:t>
      </w:r>
      <w:r w:rsidR="009D04AC" w:rsidRPr="00E32A1A">
        <w:rPr>
          <w:rFonts w:eastAsia="仿宋_GB2312"/>
          <w:color w:val="000000"/>
          <w:sz w:val="32"/>
          <w:szCs w:val="32"/>
        </w:rPr>
        <w:t>年度决算无增减变化</w:t>
      </w:r>
      <w:r w:rsidRPr="00E32A1A">
        <w:rPr>
          <w:rFonts w:eastAsia="仿宋_GB2312"/>
          <w:sz w:val="32"/>
          <w:szCs w:val="32"/>
        </w:rPr>
        <w:t>。</w:t>
      </w:r>
    </w:p>
    <w:p w:rsidR="00922797" w:rsidRPr="00E32A1A" w:rsidRDefault="000A2777">
      <w:pPr>
        <w:adjustRightInd w:val="0"/>
        <w:snapToGrid w:val="0"/>
        <w:spacing w:line="584" w:lineRule="exact"/>
        <w:ind w:firstLineChars="200" w:firstLine="643"/>
        <w:rPr>
          <w:rFonts w:eastAsia="仿宋_GB2312"/>
          <w:b/>
          <w:bCs/>
          <w:sz w:val="32"/>
          <w:szCs w:val="32"/>
        </w:rPr>
      </w:pPr>
      <w:r w:rsidRPr="00E32A1A">
        <w:rPr>
          <w:rFonts w:eastAsia="楷体_GB2312"/>
          <w:b/>
          <w:bCs/>
          <w:sz w:val="32"/>
          <w:szCs w:val="32"/>
        </w:rPr>
        <w:t>（二）公务用车购置及运行维护费支出</w:t>
      </w:r>
      <w:r w:rsidR="009D04AC" w:rsidRPr="00E32A1A">
        <w:rPr>
          <w:rFonts w:eastAsia="楷体_GB2312" w:hint="eastAsia"/>
          <w:b/>
          <w:bCs/>
          <w:sz w:val="32"/>
          <w:szCs w:val="32"/>
        </w:rPr>
        <w:t>7.5</w:t>
      </w:r>
      <w:r w:rsidRPr="00E32A1A">
        <w:rPr>
          <w:rFonts w:eastAsia="楷体_GB2312"/>
          <w:b/>
          <w:bCs/>
          <w:sz w:val="32"/>
          <w:szCs w:val="32"/>
        </w:rPr>
        <w:t>万元。</w:t>
      </w:r>
      <w:r w:rsidRPr="00E32A1A">
        <w:rPr>
          <w:rFonts w:ascii="仿宋_GB2312" w:eastAsia="仿宋_GB2312" w:cs="DengXian-Regular" w:hint="eastAsia"/>
          <w:sz w:val="32"/>
          <w:szCs w:val="32"/>
        </w:rPr>
        <w:t>本部门2018年度公务用车购置及运行维护费</w:t>
      </w:r>
      <w:r w:rsidR="009D04AC" w:rsidRPr="00E32A1A">
        <w:rPr>
          <w:rFonts w:ascii="仿宋_GB2312" w:eastAsia="仿宋_GB2312" w:cs="DengXian-Regular" w:hint="eastAsia"/>
          <w:sz w:val="32"/>
          <w:szCs w:val="32"/>
        </w:rPr>
        <w:t>与</w:t>
      </w:r>
      <w:r w:rsidRPr="00E32A1A">
        <w:rPr>
          <w:rFonts w:ascii="仿宋_GB2312" w:eastAsia="仿宋_GB2312" w:cs="DengXian-Regular" w:hint="eastAsia"/>
          <w:sz w:val="32"/>
          <w:szCs w:val="32"/>
        </w:rPr>
        <w:t>年初预算</w:t>
      </w:r>
      <w:r w:rsidR="009D04AC" w:rsidRPr="00E32A1A">
        <w:rPr>
          <w:rFonts w:eastAsia="仿宋_GB2312" w:hint="eastAsia"/>
          <w:sz w:val="32"/>
          <w:szCs w:val="32"/>
        </w:rPr>
        <w:t>持平</w:t>
      </w:r>
      <w:r w:rsidRPr="00E32A1A">
        <w:rPr>
          <w:rFonts w:ascii="仿宋_GB2312" w:eastAsia="仿宋_GB2312" w:cs="DengXian-Regular" w:hint="eastAsia"/>
          <w:sz w:val="32"/>
          <w:szCs w:val="32"/>
        </w:rPr>
        <w:t>,主要是</w:t>
      </w:r>
      <w:r w:rsidR="009D04AC" w:rsidRPr="00E32A1A">
        <w:rPr>
          <w:rFonts w:ascii="仿宋_GB2312" w:eastAsia="仿宋_GB2312" w:cs="DengXian-Regular" w:hint="eastAsia"/>
          <w:sz w:val="32"/>
          <w:szCs w:val="32"/>
        </w:rPr>
        <w:t>严格执行“三公”经费支出规定</w:t>
      </w:r>
      <w:r w:rsidRPr="00E32A1A">
        <w:rPr>
          <w:rFonts w:ascii="仿宋_GB2312" w:eastAsia="仿宋_GB2312" w:cs="DengXian-Regular" w:hint="eastAsia"/>
          <w:sz w:val="32"/>
          <w:szCs w:val="32"/>
        </w:rPr>
        <w:t>；</w:t>
      </w:r>
      <w:r w:rsidRPr="00E32A1A">
        <w:rPr>
          <w:rFonts w:eastAsia="仿宋_GB2312" w:hint="eastAsia"/>
          <w:sz w:val="32"/>
          <w:szCs w:val="32"/>
        </w:rPr>
        <w:t>比</w:t>
      </w:r>
      <w:r w:rsidRPr="00E32A1A">
        <w:rPr>
          <w:rFonts w:eastAsia="仿宋_GB2312"/>
          <w:sz w:val="32"/>
          <w:szCs w:val="32"/>
        </w:rPr>
        <w:t>201</w:t>
      </w:r>
      <w:r w:rsidRPr="00E32A1A">
        <w:rPr>
          <w:rFonts w:eastAsia="仿宋_GB2312" w:hint="eastAsia"/>
          <w:sz w:val="32"/>
          <w:szCs w:val="32"/>
        </w:rPr>
        <w:t>7</w:t>
      </w:r>
      <w:r w:rsidRPr="00E32A1A">
        <w:rPr>
          <w:rFonts w:eastAsia="仿宋_GB2312"/>
          <w:sz w:val="32"/>
          <w:szCs w:val="32"/>
        </w:rPr>
        <w:t>年度决算增加</w:t>
      </w:r>
      <w:r w:rsidR="009D04AC" w:rsidRPr="00E32A1A">
        <w:rPr>
          <w:rFonts w:eastAsia="仿宋_GB2312" w:hint="eastAsia"/>
          <w:sz w:val="32"/>
          <w:szCs w:val="32"/>
        </w:rPr>
        <w:t>0.02</w:t>
      </w:r>
      <w:r w:rsidRPr="00E32A1A">
        <w:rPr>
          <w:rFonts w:eastAsia="仿宋_GB2312"/>
          <w:sz w:val="32"/>
          <w:szCs w:val="32"/>
        </w:rPr>
        <w:t>万元，增长</w:t>
      </w:r>
      <w:r w:rsidR="009D04AC" w:rsidRPr="00E32A1A">
        <w:rPr>
          <w:rFonts w:eastAsia="仿宋_GB2312" w:hint="eastAsia"/>
          <w:sz w:val="32"/>
          <w:szCs w:val="32"/>
        </w:rPr>
        <w:t>0.27</w:t>
      </w:r>
      <w:r w:rsidRPr="00E32A1A">
        <w:rPr>
          <w:rFonts w:eastAsia="仿宋_GB2312"/>
          <w:sz w:val="32"/>
          <w:szCs w:val="32"/>
        </w:rPr>
        <w:t>%</w:t>
      </w:r>
      <w:r w:rsidRPr="00E32A1A">
        <w:rPr>
          <w:rFonts w:eastAsia="仿宋_GB2312"/>
          <w:sz w:val="32"/>
          <w:szCs w:val="32"/>
        </w:rPr>
        <w:t>，主要是</w:t>
      </w:r>
      <w:r w:rsidR="009D04AC" w:rsidRPr="00E32A1A">
        <w:rPr>
          <w:rFonts w:eastAsia="仿宋_GB2312" w:hint="eastAsia"/>
          <w:sz w:val="32"/>
          <w:szCs w:val="32"/>
        </w:rPr>
        <w:t>车辆老旧，维修费用增加</w:t>
      </w:r>
      <w:r w:rsidRPr="00E32A1A">
        <w:rPr>
          <w:rFonts w:eastAsia="仿宋_GB2312"/>
          <w:sz w:val="32"/>
          <w:szCs w:val="32"/>
        </w:rPr>
        <w:t>。</w:t>
      </w:r>
      <w:r w:rsidRPr="00E32A1A">
        <w:rPr>
          <w:rFonts w:eastAsia="仿宋_GB2312"/>
          <w:b/>
          <w:bCs/>
          <w:sz w:val="32"/>
          <w:szCs w:val="32"/>
        </w:rPr>
        <w:t>其中：</w:t>
      </w:r>
    </w:p>
    <w:p w:rsidR="00922797" w:rsidRPr="00E32A1A" w:rsidRDefault="000A2777">
      <w:pPr>
        <w:adjustRightInd w:val="0"/>
        <w:snapToGrid w:val="0"/>
        <w:spacing w:line="584" w:lineRule="exact"/>
        <w:ind w:firstLineChars="200" w:firstLine="643"/>
        <w:rPr>
          <w:rFonts w:eastAsia="仿宋_GB2312"/>
          <w:sz w:val="32"/>
          <w:szCs w:val="32"/>
        </w:rPr>
      </w:pPr>
      <w:r w:rsidRPr="00E32A1A">
        <w:rPr>
          <w:rFonts w:eastAsia="仿宋_GB2312"/>
          <w:b/>
          <w:sz w:val="32"/>
          <w:szCs w:val="32"/>
        </w:rPr>
        <w:t>公务用车购置费支出</w:t>
      </w:r>
      <w:r w:rsidR="009D04AC" w:rsidRPr="00E32A1A">
        <w:rPr>
          <w:rFonts w:eastAsia="仿宋_GB2312" w:hint="eastAsia"/>
          <w:b/>
          <w:sz w:val="32"/>
          <w:szCs w:val="32"/>
        </w:rPr>
        <w:t>0</w:t>
      </w:r>
      <w:r w:rsidRPr="00E32A1A">
        <w:rPr>
          <w:rFonts w:eastAsia="仿宋_GB2312"/>
          <w:b/>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年度公务用车购</w:t>
      </w:r>
      <w:r w:rsidRPr="00E32A1A">
        <w:rPr>
          <w:rFonts w:eastAsia="仿宋_GB2312"/>
          <w:sz w:val="32"/>
          <w:szCs w:val="32"/>
        </w:rPr>
        <w:lastRenderedPageBreak/>
        <w:t>置数量</w:t>
      </w:r>
      <w:r w:rsidR="009D04AC" w:rsidRPr="00E32A1A">
        <w:rPr>
          <w:rFonts w:eastAsia="仿宋_GB2312" w:hint="eastAsia"/>
          <w:sz w:val="32"/>
          <w:szCs w:val="32"/>
        </w:rPr>
        <w:t>0</w:t>
      </w:r>
      <w:r w:rsidRPr="00E32A1A">
        <w:rPr>
          <w:rFonts w:eastAsia="仿宋_GB2312"/>
          <w:sz w:val="32"/>
          <w:szCs w:val="32"/>
        </w:rPr>
        <w:t>辆。</w:t>
      </w:r>
      <w:r w:rsidR="00E32A1A" w:rsidRPr="00E32A1A">
        <w:rPr>
          <w:rFonts w:eastAsia="仿宋_GB2312"/>
          <w:color w:val="000000"/>
          <w:sz w:val="32"/>
          <w:szCs w:val="32"/>
        </w:rPr>
        <w:t>未发生</w:t>
      </w:r>
      <w:r w:rsidR="00E32A1A" w:rsidRPr="00E32A1A">
        <w:rPr>
          <w:rFonts w:eastAsia="仿宋_GB2312"/>
          <w:color w:val="000000"/>
          <w:sz w:val="32"/>
          <w:szCs w:val="32"/>
        </w:rPr>
        <w:t>“</w:t>
      </w:r>
      <w:r w:rsidR="00E32A1A" w:rsidRPr="00E32A1A">
        <w:rPr>
          <w:rFonts w:eastAsia="仿宋_GB2312"/>
          <w:color w:val="000000"/>
          <w:sz w:val="32"/>
          <w:szCs w:val="32"/>
        </w:rPr>
        <w:t>公务用车购置</w:t>
      </w:r>
      <w:r w:rsidR="00E32A1A" w:rsidRPr="00E32A1A">
        <w:rPr>
          <w:rFonts w:eastAsia="仿宋_GB2312"/>
          <w:color w:val="000000"/>
          <w:sz w:val="32"/>
          <w:szCs w:val="32"/>
        </w:rPr>
        <w:t>”</w:t>
      </w:r>
      <w:r w:rsidR="00E32A1A" w:rsidRPr="00E32A1A">
        <w:rPr>
          <w:rFonts w:eastAsia="仿宋_GB2312"/>
          <w:color w:val="000000"/>
          <w:sz w:val="32"/>
          <w:szCs w:val="32"/>
        </w:rPr>
        <w:t>经费支出</w:t>
      </w:r>
      <w:r w:rsidR="00E32A1A" w:rsidRPr="00E32A1A">
        <w:rPr>
          <w:rFonts w:eastAsia="仿宋_GB2312" w:hint="eastAsia"/>
          <w:color w:val="000000"/>
          <w:sz w:val="32"/>
          <w:szCs w:val="32"/>
        </w:rPr>
        <w:t>，</w:t>
      </w:r>
      <w:r w:rsidR="00E32A1A" w:rsidRPr="00E32A1A">
        <w:rPr>
          <w:rFonts w:eastAsia="仿宋_GB2312"/>
          <w:color w:val="000000"/>
          <w:sz w:val="32"/>
          <w:szCs w:val="32"/>
        </w:rPr>
        <w:t>较年初预算无增减变化</w:t>
      </w:r>
      <w:r w:rsidR="00E32A1A" w:rsidRPr="00E32A1A">
        <w:rPr>
          <w:rFonts w:eastAsia="仿宋_GB2312"/>
          <w:sz w:val="32"/>
          <w:szCs w:val="32"/>
        </w:rPr>
        <w:t>；</w:t>
      </w:r>
      <w:r w:rsidR="00E32A1A" w:rsidRPr="00E32A1A">
        <w:rPr>
          <w:rFonts w:eastAsia="仿宋_GB2312"/>
          <w:color w:val="000000"/>
          <w:sz w:val="32"/>
          <w:szCs w:val="32"/>
        </w:rPr>
        <w:t>未发生</w:t>
      </w:r>
      <w:r w:rsidR="00E32A1A" w:rsidRPr="00E32A1A">
        <w:rPr>
          <w:rFonts w:eastAsia="仿宋_GB2312"/>
          <w:color w:val="000000"/>
          <w:sz w:val="32"/>
          <w:szCs w:val="32"/>
        </w:rPr>
        <w:t>“</w:t>
      </w:r>
      <w:r w:rsidR="00E32A1A" w:rsidRPr="00E32A1A">
        <w:rPr>
          <w:rFonts w:eastAsia="仿宋_GB2312"/>
          <w:color w:val="000000"/>
          <w:sz w:val="32"/>
          <w:szCs w:val="32"/>
        </w:rPr>
        <w:t>公务用车购置</w:t>
      </w:r>
      <w:r w:rsidR="00E32A1A" w:rsidRPr="00E32A1A">
        <w:rPr>
          <w:rFonts w:eastAsia="仿宋_GB2312"/>
          <w:color w:val="000000"/>
          <w:sz w:val="32"/>
          <w:szCs w:val="32"/>
        </w:rPr>
        <w:t>”</w:t>
      </w:r>
      <w:r w:rsidR="00E32A1A" w:rsidRPr="00E32A1A">
        <w:rPr>
          <w:rFonts w:eastAsia="仿宋_GB2312"/>
          <w:color w:val="000000"/>
          <w:sz w:val="32"/>
          <w:szCs w:val="32"/>
        </w:rPr>
        <w:t>经费支出</w:t>
      </w:r>
      <w:r w:rsidR="00E32A1A" w:rsidRPr="00E32A1A">
        <w:rPr>
          <w:rFonts w:eastAsia="仿宋_GB2312" w:hint="eastAsia"/>
          <w:color w:val="000000"/>
          <w:sz w:val="32"/>
          <w:szCs w:val="32"/>
        </w:rPr>
        <w:t>，</w:t>
      </w:r>
      <w:r w:rsidR="00E32A1A" w:rsidRPr="00E32A1A">
        <w:rPr>
          <w:rFonts w:eastAsia="仿宋_GB2312"/>
          <w:color w:val="000000"/>
          <w:sz w:val="32"/>
          <w:szCs w:val="32"/>
        </w:rPr>
        <w:t>较</w:t>
      </w:r>
      <w:r w:rsidR="00E32A1A" w:rsidRPr="00E32A1A">
        <w:rPr>
          <w:rFonts w:eastAsia="仿宋_GB2312"/>
          <w:color w:val="000000"/>
          <w:sz w:val="32"/>
          <w:szCs w:val="32"/>
        </w:rPr>
        <w:t>201</w:t>
      </w:r>
      <w:r w:rsidR="00E32A1A" w:rsidRPr="00E32A1A">
        <w:rPr>
          <w:rFonts w:eastAsia="仿宋_GB2312" w:hint="eastAsia"/>
          <w:color w:val="000000"/>
          <w:sz w:val="32"/>
          <w:szCs w:val="32"/>
        </w:rPr>
        <w:t>7</w:t>
      </w:r>
      <w:r w:rsidR="00E32A1A" w:rsidRPr="00E32A1A">
        <w:rPr>
          <w:rFonts w:eastAsia="仿宋_GB2312"/>
          <w:color w:val="000000"/>
          <w:sz w:val="32"/>
          <w:szCs w:val="32"/>
        </w:rPr>
        <w:t>年度决算无增减变化</w:t>
      </w:r>
    </w:p>
    <w:p w:rsidR="00922797" w:rsidRPr="00E32A1A" w:rsidRDefault="000A2777">
      <w:pPr>
        <w:adjustRightInd w:val="0"/>
        <w:snapToGrid w:val="0"/>
        <w:spacing w:line="584" w:lineRule="exact"/>
        <w:ind w:firstLineChars="200" w:firstLine="643"/>
        <w:rPr>
          <w:rFonts w:eastAsia="仿宋_GB2312"/>
          <w:sz w:val="32"/>
          <w:szCs w:val="32"/>
        </w:rPr>
      </w:pPr>
      <w:r w:rsidRPr="00E32A1A">
        <w:rPr>
          <w:rFonts w:eastAsia="仿宋_GB2312"/>
          <w:b/>
          <w:sz w:val="32"/>
          <w:szCs w:val="32"/>
        </w:rPr>
        <w:t>公务用车运行维护费支出</w:t>
      </w:r>
      <w:r w:rsidR="009D04AC" w:rsidRPr="00E32A1A">
        <w:rPr>
          <w:rFonts w:eastAsia="仿宋_GB2312" w:hint="eastAsia"/>
          <w:b/>
          <w:sz w:val="32"/>
          <w:szCs w:val="32"/>
        </w:rPr>
        <w:t>7.5</w:t>
      </w:r>
      <w:r w:rsidRPr="00E32A1A">
        <w:rPr>
          <w:rFonts w:eastAsia="仿宋_GB2312"/>
          <w:b/>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年末单位公务用车保有量</w:t>
      </w:r>
      <w:r w:rsidR="009D04AC" w:rsidRPr="00E32A1A">
        <w:rPr>
          <w:rFonts w:eastAsia="仿宋_GB2312" w:hint="eastAsia"/>
          <w:sz w:val="32"/>
          <w:szCs w:val="32"/>
        </w:rPr>
        <w:t>3</w:t>
      </w:r>
      <w:r w:rsidRPr="00E32A1A">
        <w:rPr>
          <w:rFonts w:eastAsia="仿宋_GB2312"/>
          <w:sz w:val="32"/>
          <w:szCs w:val="32"/>
        </w:rPr>
        <w:t>辆。公车运行维护费支出</w:t>
      </w:r>
      <w:r w:rsidR="009D04AC" w:rsidRPr="00E32A1A">
        <w:rPr>
          <w:rFonts w:eastAsia="仿宋_GB2312" w:hint="eastAsia"/>
          <w:sz w:val="32"/>
          <w:szCs w:val="32"/>
        </w:rPr>
        <w:t>与</w:t>
      </w:r>
      <w:r w:rsidRPr="00E32A1A">
        <w:rPr>
          <w:rFonts w:eastAsia="仿宋_GB2312"/>
          <w:sz w:val="32"/>
          <w:szCs w:val="32"/>
        </w:rPr>
        <w:t>年初预算</w:t>
      </w:r>
      <w:r w:rsidR="009D04AC" w:rsidRPr="00E32A1A">
        <w:rPr>
          <w:rFonts w:eastAsia="仿宋_GB2312" w:hint="eastAsia"/>
          <w:sz w:val="32"/>
          <w:szCs w:val="32"/>
        </w:rPr>
        <w:t>持平</w:t>
      </w:r>
      <w:r w:rsidRPr="00E32A1A">
        <w:rPr>
          <w:rFonts w:eastAsia="仿宋_GB2312"/>
          <w:sz w:val="32"/>
          <w:szCs w:val="32"/>
        </w:rPr>
        <w:t>，主要是</w:t>
      </w:r>
      <w:r w:rsidR="009D04AC" w:rsidRPr="00E32A1A">
        <w:rPr>
          <w:rFonts w:ascii="仿宋_GB2312" w:eastAsia="仿宋_GB2312" w:cs="DengXian-Regular" w:hint="eastAsia"/>
          <w:sz w:val="32"/>
          <w:szCs w:val="32"/>
        </w:rPr>
        <w:t>严格执行“三公”经费支出规定</w:t>
      </w:r>
      <w:r w:rsidRPr="00E32A1A">
        <w:rPr>
          <w:rFonts w:eastAsia="仿宋_GB2312"/>
          <w:sz w:val="32"/>
          <w:szCs w:val="32"/>
        </w:rPr>
        <w:t>；</w:t>
      </w:r>
      <w:r w:rsidRPr="00E32A1A">
        <w:rPr>
          <w:rFonts w:eastAsia="仿宋_GB2312" w:hint="eastAsia"/>
          <w:sz w:val="32"/>
          <w:szCs w:val="32"/>
        </w:rPr>
        <w:t>比</w:t>
      </w:r>
      <w:r w:rsidRPr="00E32A1A">
        <w:rPr>
          <w:rFonts w:eastAsia="仿宋_GB2312"/>
          <w:sz w:val="32"/>
          <w:szCs w:val="32"/>
        </w:rPr>
        <w:t>201</w:t>
      </w:r>
      <w:r w:rsidRPr="00E32A1A">
        <w:rPr>
          <w:rFonts w:eastAsia="仿宋_GB2312" w:hint="eastAsia"/>
          <w:sz w:val="32"/>
          <w:szCs w:val="32"/>
        </w:rPr>
        <w:t>7</w:t>
      </w:r>
      <w:r w:rsidRPr="00E32A1A">
        <w:rPr>
          <w:rFonts w:eastAsia="仿宋_GB2312"/>
          <w:sz w:val="32"/>
          <w:szCs w:val="32"/>
        </w:rPr>
        <w:t>年度决算增加</w:t>
      </w:r>
      <w:r w:rsidR="009D04AC" w:rsidRPr="00E32A1A">
        <w:rPr>
          <w:rFonts w:eastAsia="仿宋_GB2312" w:hint="eastAsia"/>
          <w:sz w:val="32"/>
          <w:szCs w:val="32"/>
        </w:rPr>
        <w:t>0.02</w:t>
      </w:r>
      <w:r w:rsidRPr="00E32A1A">
        <w:rPr>
          <w:rFonts w:eastAsia="仿宋_GB2312"/>
          <w:sz w:val="32"/>
          <w:szCs w:val="32"/>
        </w:rPr>
        <w:t>万元，增长</w:t>
      </w:r>
      <w:r w:rsidR="009D04AC" w:rsidRPr="00E32A1A">
        <w:rPr>
          <w:rFonts w:eastAsia="仿宋_GB2312" w:hint="eastAsia"/>
          <w:sz w:val="32"/>
          <w:szCs w:val="32"/>
        </w:rPr>
        <w:t>0.27</w:t>
      </w:r>
      <w:r w:rsidRPr="00E32A1A">
        <w:rPr>
          <w:rFonts w:eastAsia="仿宋_GB2312"/>
          <w:sz w:val="32"/>
          <w:szCs w:val="32"/>
        </w:rPr>
        <w:t>%</w:t>
      </w:r>
      <w:r w:rsidRPr="00E32A1A">
        <w:rPr>
          <w:rFonts w:eastAsia="仿宋_GB2312"/>
          <w:sz w:val="32"/>
          <w:szCs w:val="32"/>
        </w:rPr>
        <w:t>，主要是</w:t>
      </w:r>
      <w:r w:rsidR="009D04AC" w:rsidRPr="00E32A1A">
        <w:rPr>
          <w:rFonts w:eastAsia="仿宋_GB2312" w:hint="eastAsia"/>
          <w:sz w:val="32"/>
          <w:szCs w:val="32"/>
        </w:rPr>
        <w:t>车辆老旧，维修费用增加</w:t>
      </w:r>
      <w:r w:rsidRPr="00E32A1A">
        <w:rPr>
          <w:rFonts w:eastAsia="仿宋_GB2312"/>
          <w:sz w:val="32"/>
          <w:szCs w:val="32"/>
        </w:rPr>
        <w:t>。</w:t>
      </w:r>
    </w:p>
    <w:p w:rsidR="00922797" w:rsidRPr="00E32A1A" w:rsidRDefault="000A2777">
      <w:pPr>
        <w:adjustRightInd w:val="0"/>
        <w:snapToGrid w:val="0"/>
        <w:spacing w:line="584" w:lineRule="exact"/>
        <w:ind w:firstLineChars="200" w:firstLine="643"/>
        <w:rPr>
          <w:rFonts w:eastAsia="仿宋_GB2312"/>
          <w:sz w:val="32"/>
          <w:szCs w:val="32"/>
        </w:rPr>
      </w:pPr>
      <w:r w:rsidRPr="00E32A1A">
        <w:rPr>
          <w:rFonts w:eastAsia="楷体_GB2312"/>
          <w:b/>
          <w:bCs/>
          <w:sz w:val="32"/>
          <w:szCs w:val="32"/>
        </w:rPr>
        <w:t>（三）公务接待费支出</w:t>
      </w:r>
      <w:r w:rsidR="009D04AC" w:rsidRPr="00E32A1A">
        <w:rPr>
          <w:rFonts w:eastAsia="楷体_GB2312" w:hint="eastAsia"/>
          <w:b/>
          <w:bCs/>
          <w:sz w:val="32"/>
          <w:szCs w:val="32"/>
        </w:rPr>
        <w:t>0</w:t>
      </w:r>
      <w:r w:rsidRPr="00E32A1A">
        <w:rPr>
          <w:rFonts w:eastAsia="楷体_GB2312"/>
          <w:b/>
          <w:bCs/>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年度公务接待共</w:t>
      </w:r>
      <w:r w:rsidR="009D04AC" w:rsidRPr="00E32A1A">
        <w:rPr>
          <w:rFonts w:eastAsia="仿宋_GB2312" w:hint="eastAsia"/>
          <w:sz w:val="32"/>
          <w:szCs w:val="32"/>
        </w:rPr>
        <w:t>0</w:t>
      </w:r>
      <w:r w:rsidRPr="00E32A1A">
        <w:rPr>
          <w:rFonts w:eastAsia="仿宋_GB2312"/>
          <w:sz w:val="32"/>
          <w:szCs w:val="32"/>
        </w:rPr>
        <w:t>批次、</w:t>
      </w:r>
      <w:r w:rsidR="009D04AC" w:rsidRPr="00E32A1A">
        <w:rPr>
          <w:rFonts w:eastAsia="仿宋_GB2312" w:hint="eastAsia"/>
          <w:sz w:val="32"/>
          <w:szCs w:val="32"/>
        </w:rPr>
        <w:t>0</w:t>
      </w:r>
      <w:r w:rsidRPr="00E32A1A">
        <w:rPr>
          <w:rFonts w:eastAsia="仿宋_GB2312"/>
          <w:sz w:val="32"/>
          <w:szCs w:val="32"/>
        </w:rPr>
        <w:t>人次。公务接待费支出</w:t>
      </w:r>
      <w:r w:rsidRPr="00E32A1A">
        <w:rPr>
          <w:rFonts w:eastAsia="仿宋_GB2312" w:hint="eastAsia"/>
          <w:sz w:val="32"/>
          <w:szCs w:val="32"/>
        </w:rPr>
        <w:t>比</w:t>
      </w:r>
      <w:r w:rsidRPr="00E32A1A">
        <w:rPr>
          <w:rFonts w:eastAsia="仿宋_GB2312"/>
          <w:sz w:val="32"/>
          <w:szCs w:val="32"/>
        </w:rPr>
        <w:t>年初预算减少</w:t>
      </w:r>
      <w:r w:rsidR="009D04AC" w:rsidRPr="00E32A1A">
        <w:rPr>
          <w:rFonts w:eastAsia="仿宋_GB2312" w:hint="eastAsia"/>
          <w:sz w:val="32"/>
          <w:szCs w:val="32"/>
        </w:rPr>
        <w:t>1.26</w:t>
      </w:r>
      <w:r w:rsidRPr="00E32A1A">
        <w:rPr>
          <w:rFonts w:eastAsia="仿宋_GB2312"/>
          <w:sz w:val="32"/>
          <w:szCs w:val="32"/>
        </w:rPr>
        <w:t>万元，降低</w:t>
      </w:r>
      <w:r w:rsidR="009D04AC" w:rsidRPr="00E32A1A">
        <w:rPr>
          <w:rFonts w:eastAsia="仿宋_GB2312" w:hint="eastAsia"/>
          <w:sz w:val="32"/>
          <w:szCs w:val="32"/>
        </w:rPr>
        <w:t>100</w:t>
      </w:r>
      <w:r w:rsidRPr="00E32A1A">
        <w:rPr>
          <w:rFonts w:eastAsia="仿宋_GB2312"/>
          <w:sz w:val="32"/>
          <w:szCs w:val="32"/>
        </w:rPr>
        <w:t>%</w:t>
      </w:r>
      <w:r w:rsidRPr="00E32A1A">
        <w:rPr>
          <w:rFonts w:eastAsia="仿宋_GB2312"/>
          <w:sz w:val="32"/>
          <w:szCs w:val="32"/>
        </w:rPr>
        <w:t>，主要是</w:t>
      </w:r>
      <w:r w:rsidR="00E32A1A" w:rsidRPr="00E32A1A">
        <w:rPr>
          <w:rFonts w:eastAsia="仿宋_GB2312"/>
          <w:color w:val="000000"/>
          <w:sz w:val="32"/>
          <w:szCs w:val="32"/>
        </w:rPr>
        <w:t>未发生</w:t>
      </w:r>
      <w:r w:rsidR="00E32A1A" w:rsidRPr="00E32A1A">
        <w:rPr>
          <w:rFonts w:eastAsia="仿宋_GB2312" w:hint="eastAsia"/>
          <w:color w:val="000000"/>
          <w:sz w:val="32"/>
          <w:szCs w:val="32"/>
        </w:rPr>
        <w:t>公务接待</w:t>
      </w:r>
      <w:r w:rsidR="00E32A1A" w:rsidRPr="00E32A1A">
        <w:rPr>
          <w:rFonts w:eastAsia="仿宋_GB2312"/>
          <w:color w:val="000000"/>
          <w:sz w:val="32"/>
          <w:szCs w:val="32"/>
        </w:rPr>
        <w:t>经费支出</w:t>
      </w:r>
      <w:r w:rsidRPr="00E32A1A">
        <w:rPr>
          <w:rFonts w:eastAsia="仿宋_GB2312"/>
          <w:sz w:val="32"/>
          <w:szCs w:val="32"/>
        </w:rPr>
        <w:t>；</w:t>
      </w:r>
      <w:r w:rsidR="00E32A1A" w:rsidRPr="00E32A1A">
        <w:rPr>
          <w:rFonts w:eastAsia="仿宋_GB2312"/>
          <w:color w:val="000000"/>
          <w:sz w:val="32"/>
          <w:szCs w:val="32"/>
        </w:rPr>
        <w:t>未发生</w:t>
      </w:r>
      <w:r w:rsidR="00E32A1A" w:rsidRPr="00E32A1A">
        <w:rPr>
          <w:rFonts w:eastAsia="仿宋_GB2312" w:hint="eastAsia"/>
          <w:color w:val="000000"/>
          <w:sz w:val="32"/>
          <w:szCs w:val="32"/>
        </w:rPr>
        <w:t>公务接待</w:t>
      </w:r>
      <w:r w:rsidR="00E32A1A" w:rsidRPr="00E32A1A">
        <w:rPr>
          <w:rFonts w:eastAsia="仿宋_GB2312"/>
          <w:color w:val="000000"/>
          <w:sz w:val="32"/>
          <w:szCs w:val="32"/>
        </w:rPr>
        <w:t>经费支出</w:t>
      </w:r>
      <w:r w:rsidR="00E32A1A" w:rsidRPr="00E32A1A">
        <w:rPr>
          <w:rFonts w:eastAsia="仿宋_GB2312" w:hint="eastAsia"/>
          <w:color w:val="000000"/>
          <w:sz w:val="32"/>
          <w:szCs w:val="32"/>
        </w:rPr>
        <w:t>，</w:t>
      </w:r>
      <w:r w:rsidR="00E32A1A" w:rsidRPr="00E32A1A">
        <w:rPr>
          <w:rFonts w:eastAsia="仿宋_GB2312"/>
          <w:color w:val="000000"/>
          <w:sz w:val="32"/>
          <w:szCs w:val="32"/>
        </w:rPr>
        <w:t>较</w:t>
      </w:r>
      <w:r w:rsidR="00E32A1A" w:rsidRPr="00E32A1A">
        <w:rPr>
          <w:rFonts w:eastAsia="仿宋_GB2312"/>
          <w:color w:val="000000"/>
          <w:sz w:val="32"/>
          <w:szCs w:val="32"/>
        </w:rPr>
        <w:t>201</w:t>
      </w:r>
      <w:r w:rsidR="00E32A1A" w:rsidRPr="00E32A1A">
        <w:rPr>
          <w:rFonts w:eastAsia="仿宋_GB2312" w:hint="eastAsia"/>
          <w:color w:val="000000"/>
          <w:sz w:val="32"/>
          <w:szCs w:val="32"/>
        </w:rPr>
        <w:t>7</w:t>
      </w:r>
      <w:r w:rsidR="00E32A1A" w:rsidRPr="00E32A1A">
        <w:rPr>
          <w:rFonts w:eastAsia="仿宋_GB2312"/>
          <w:color w:val="000000"/>
          <w:sz w:val="32"/>
          <w:szCs w:val="32"/>
        </w:rPr>
        <w:t>年度决算无增减变化</w:t>
      </w:r>
      <w:r w:rsidRPr="00E32A1A">
        <w:rPr>
          <w:rFonts w:eastAsia="仿宋_GB2312"/>
          <w:sz w:val="32"/>
          <w:szCs w:val="32"/>
        </w:rPr>
        <w:t>。</w:t>
      </w:r>
    </w:p>
    <w:p w:rsidR="00922797" w:rsidRDefault="000A277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2D0501" w:rsidRPr="002D0501" w:rsidRDefault="002D0501" w:rsidP="002D0501">
      <w:pPr>
        <w:pStyle w:val="ac"/>
        <w:spacing w:line="520" w:lineRule="exact"/>
        <w:ind w:firstLineChars="200" w:firstLine="648"/>
        <w:rPr>
          <w:rFonts w:ascii="仿宋_GB2312" w:eastAsia="仿宋_GB2312" w:hAnsi="仿宋"/>
          <w:sz w:val="32"/>
          <w:szCs w:val="32"/>
        </w:rPr>
      </w:pPr>
      <w:r w:rsidRPr="002D0501">
        <w:rPr>
          <w:rFonts w:ascii="仿宋_GB2312" w:eastAsia="仿宋_GB2312" w:hAnsi="仿宋" w:hint="eastAsia"/>
          <w:spacing w:val="2"/>
          <w:sz w:val="32"/>
          <w:szCs w:val="32"/>
        </w:rPr>
        <w:t>根</w:t>
      </w:r>
      <w:r w:rsidRPr="002D0501">
        <w:rPr>
          <w:rFonts w:ascii="仿宋_GB2312" w:eastAsia="仿宋_GB2312" w:hAnsi="仿宋" w:hint="eastAsia"/>
          <w:sz w:val="32"/>
          <w:szCs w:val="32"/>
        </w:rPr>
        <w:t>据市</w:t>
      </w:r>
      <w:r w:rsidRPr="002D0501">
        <w:rPr>
          <w:rFonts w:ascii="仿宋_GB2312" w:eastAsia="仿宋_GB2312" w:hAnsi="仿宋" w:hint="eastAsia"/>
          <w:spacing w:val="2"/>
          <w:sz w:val="32"/>
          <w:szCs w:val="32"/>
        </w:rPr>
        <w:t>财</w:t>
      </w:r>
      <w:r w:rsidRPr="002D0501">
        <w:rPr>
          <w:rFonts w:ascii="仿宋_GB2312" w:eastAsia="仿宋_GB2312" w:hAnsi="仿宋" w:hint="eastAsia"/>
          <w:sz w:val="32"/>
          <w:szCs w:val="32"/>
        </w:rPr>
        <w:t>政预算</w:t>
      </w:r>
      <w:r w:rsidRPr="002D0501">
        <w:rPr>
          <w:rFonts w:ascii="仿宋_GB2312" w:eastAsia="仿宋_GB2312" w:hAnsi="仿宋" w:hint="eastAsia"/>
          <w:spacing w:val="2"/>
          <w:sz w:val="32"/>
          <w:szCs w:val="32"/>
        </w:rPr>
        <w:t>绩</w:t>
      </w:r>
      <w:r w:rsidRPr="002D0501">
        <w:rPr>
          <w:rFonts w:ascii="仿宋_GB2312" w:eastAsia="仿宋_GB2312" w:hAnsi="仿宋" w:hint="eastAsia"/>
          <w:sz w:val="32"/>
          <w:szCs w:val="32"/>
        </w:rPr>
        <w:t>效管</w:t>
      </w:r>
      <w:r w:rsidRPr="002D0501">
        <w:rPr>
          <w:rFonts w:ascii="仿宋_GB2312" w:eastAsia="仿宋_GB2312" w:hAnsi="仿宋" w:hint="eastAsia"/>
          <w:spacing w:val="2"/>
          <w:sz w:val="32"/>
          <w:szCs w:val="32"/>
        </w:rPr>
        <w:t>理</w:t>
      </w:r>
      <w:r w:rsidRPr="002D0501">
        <w:rPr>
          <w:rFonts w:ascii="仿宋_GB2312" w:eastAsia="仿宋_GB2312" w:hAnsi="仿宋" w:hint="eastAsia"/>
          <w:sz w:val="32"/>
          <w:szCs w:val="32"/>
        </w:rPr>
        <w:t>要求</w:t>
      </w:r>
      <w:r w:rsidRPr="002D0501">
        <w:rPr>
          <w:rFonts w:ascii="仿宋_GB2312" w:eastAsia="仿宋_GB2312" w:hAnsi="仿宋" w:hint="eastAsia"/>
          <w:spacing w:val="-59"/>
          <w:sz w:val="32"/>
          <w:szCs w:val="32"/>
        </w:rPr>
        <w:t>，以</w:t>
      </w:r>
      <w:r w:rsidRPr="002D0501">
        <w:rPr>
          <w:rFonts w:ascii="仿宋_GB2312" w:eastAsia="仿宋_GB2312" w:hAnsi="仿宋" w:hint="eastAsia"/>
          <w:spacing w:val="2"/>
          <w:sz w:val="32"/>
          <w:szCs w:val="32"/>
        </w:rPr>
        <w:t>“</w:t>
      </w:r>
      <w:r w:rsidRPr="002D0501">
        <w:rPr>
          <w:rFonts w:ascii="仿宋_GB2312" w:eastAsia="仿宋_GB2312" w:hAnsi="仿宋" w:hint="eastAsia"/>
          <w:sz w:val="32"/>
          <w:szCs w:val="32"/>
        </w:rPr>
        <w:t>部门</w:t>
      </w:r>
      <w:r w:rsidRPr="002D0501">
        <w:rPr>
          <w:rFonts w:ascii="仿宋_GB2312" w:eastAsia="仿宋_GB2312" w:hAnsi="仿宋" w:hint="eastAsia"/>
          <w:spacing w:val="2"/>
          <w:sz w:val="32"/>
          <w:szCs w:val="32"/>
        </w:rPr>
        <w:t>职</w:t>
      </w:r>
      <w:r w:rsidRPr="002D0501">
        <w:rPr>
          <w:rFonts w:ascii="仿宋_GB2312" w:eastAsia="仿宋_GB2312" w:hAnsi="仿宋" w:hint="eastAsia"/>
          <w:sz w:val="32"/>
          <w:szCs w:val="32"/>
        </w:rPr>
        <w:t>责</w:t>
      </w:r>
      <w:r w:rsidRPr="002D0501">
        <w:rPr>
          <w:rFonts w:ascii="仿宋_GB2312" w:eastAsia="仿宋_GB2312" w:hAnsi="仿宋" w:cs="黑体" w:hint="eastAsia"/>
          <w:spacing w:val="1"/>
          <w:w w:val="95"/>
          <w:sz w:val="32"/>
          <w:szCs w:val="32"/>
        </w:rPr>
        <w:t>—</w:t>
      </w:r>
      <w:r w:rsidRPr="002D0501">
        <w:rPr>
          <w:rFonts w:ascii="仿宋_GB2312" w:eastAsia="仿宋_GB2312" w:hAnsi="仿宋" w:hint="eastAsia"/>
          <w:w w:val="95"/>
          <w:sz w:val="32"/>
          <w:szCs w:val="32"/>
        </w:rPr>
        <w:t>工作</w:t>
      </w:r>
      <w:r w:rsidRPr="002D0501">
        <w:rPr>
          <w:rFonts w:ascii="仿宋_GB2312" w:eastAsia="仿宋_GB2312" w:hAnsi="仿宋" w:hint="eastAsia"/>
          <w:spacing w:val="1"/>
          <w:w w:val="95"/>
          <w:sz w:val="32"/>
          <w:szCs w:val="32"/>
        </w:rPr>
        <w:t>活</w:t>
      </w:r>
      <w:r w:rsidRPr="002D0501">
        <w:rPr>
          <w:rFonts w:ascii="仿宋_GB2312" w:eastAsia="仿宋_GB2312" w:hAnsi="仿宋" w:hint="eastAsia"/>
          <w:w w:val="95"/>
          <w:sz w:val="32"/>
          <w:szCs w:val="32"/>
        </w:rPr>
        <w:t>动</w:t>
      </w:r>
      <w:r w:rsidRPr="002D0501">
        <w:rPr>
          <w:rFonts w:ascii="仿宋_GB2312" w:eastAsia="仿宋_GB2312" w:hAnsi="仿宋" w:hint="eastAsia"/>
          <w:spacing w:val="-38"/>
          <w:w w:val="95"/>
          <w:sz w:val="32"/>
          <w:szCs w:val="32"/>
        </w:rPr>
        <w:t>”</w:t>
      </w:r>
      <w:r w:rsidRPr="002D0501">
        <w:rPr>
          <w:rFonts w:ascii="仿宋_GB2312" w:eastAsia="仿宋_GB2312" w:hAnsi="仿宋" w:hint="eastAsia"/>
          <w:w w:val="95"/>
          <w:sz w:val="32"/>
          <w:szCs w:val="32"/>
        </w:rPr>
        <w:t>为</w:t>
      </w:r>
      <w:r w:rsidRPr="002D0501">
        <w:rPr>
          <w:rFonts w:ascii="仿宋_GB2312" w:eastAsia="仿宋_GB2312" w:hAnsi="仿宋" w:hint="eastAsia"/>
          <w:spacing w:val="1"/>
          <w:w w:val="95"/>
          <w:sz w:val="32"/>
          <w:szCs w:val="32"/>
        </w:rPr>
        <w:t>依</w:t>
      </w:r>
      <w:r w:rsidRPr="002D0501">
        <w:rPr>
          <w:rFonts w:ascii="仿宋_GB2312" w:eastAsia="仿宋_GB2312" w:hAnsi="仿宋" w:hint="eastAsia"/>
          <w:w w:val="95"/>
          <w:sz w:val="32"/>
          <w:szCs w:val="32"/>
        </w:rPr>
        <w:t>据</w:t>
      </w:r>
      <w:r w:rsidRPr="002D0501">
        <w:rPr>
          <w:rFonts w:ascii="仿宋_GB2312" w:eastAsia="仿宋_GB2312" w:hAnsi="仿宋" w:hint="eastAsia"/>
          <w:spacing w:val="-38"/>
          <w:w w:val="95"/>
          <w:sz w:val="32"/>
          <w:szCs w:val="32"/>
        </w:rPr>
        <w:t>，</w:t>
      </w:r>
      <w:r w:rsidRPr="002D0501">
        <w:rPr>
          <w:rFonts w:ascii="仿宋_GB2312" w:eastAsia="仿宋_GB2312" w:hAnsi="仿宋" w:hint="eastAsia"/>
          <w:spacing w:val="1"/>
          <w:w w:val="95"/>
          <w:sz w:val="32"/>
          <w:szCs w:val="32"/>
        </w:rPr>
        <w:t>确</w:t>
      </w:r>
      <w:r w:rsidRPr="002D0501">
        <w:rPr>
          <w:rFonts w:ascii="仿宋_GB2312" w:eastAsia="仿宋_GB2312" w:hAnsi="仿宋" w:hint="eastAsia"/>
          <w:w w:val="95"/>
          <w:sz w:val="32"/>
          <w:szCs w:val="32"/>
        </w:rPr>
        <w:t>定部门</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算项</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和预算</w:t>
      </w:r>
      <w:r w:rsidRPr="002D0501">
        <w:rPr>
          <w:rFonts w:ascii="仿宋_GB2312" w:eastAsia="仿宋_GB2312" w:hAnsi="仿宋" w:hint="eastAsia"/>
          <w:spacing w:val="1"/>
          <w:w w:val="95"/>
          <w:sz w:val="32"/>
          <w:szCs w:val="32"/>
        </w:rPr>
        <w:t>额</w:t>
      </w:r>
      <w:r w:rsidRPr="002D0501">
        <w:rPr>
          <w:rFonts w:ascii="仿宋_GB2312" w:eastAsia="仿宋_GB2312" w:hAnsi="仿宋" w:hint="eastAsia"/>
          <w:w w:val="95"/>
          <w:sz w:val="32"/>
          <w:szCs w:val="32"/>
        </w:rPr>
        <w:t>度</w:t>
      </w:r>
      <w:r w:rsidRPr="002D0501">
        <w:rPr>
          <w:rFonts w:ascii="仿宋_GB2312" w:eastAsia="仿宋_GB2312" w:hAnsi="仿宋" w:hint="eastAsia"/>
          <w:spacing w:val="-38"/>
          <w:w w:val="95"/>
          <w:sz w:val="32"/>
          <w:szCs w:val="32"/>
        </w:rPr>
        <w:t>，</w:t>
      </w:r>
      <w:r w:rsidRPr="002D0501">
        <w:rPr>
          <w:rFonts w:ascii="仿宋_GB2312" w:eastAsia="仿宋_GB2312" w:hAnsi="仿宋" w:hint="eastAsia"/>
          <w:spacing w:val="1"/>
          <w:w w:val="95"/>
          <w:sz w:val="32"/>
          <w:szCs w:val="32"/>
        </w:rPr>
        <w:t>清</w:t>
      </w:r>
      <w:r w:rsidRPr="002D0501">
        <w:rPr>
          <w:rFonts w:ascii="仿宋_GB2312" w:eastAsia="仿宋_GB2312" w:hAnsi="仿宋" w:hint="eastAsia"/>
          <w:w w:val="95"/>
          <w:sz w:val="32"/>
          <w:szCs w:val="32"/>
        </w:rPr>
        <w:t>晰描述</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算项</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开支范</w:t>
      </w:r>
      <w:r w:rsidRPr="002D0501">
        <w:rPr>
          <w:rFonts w:ascii="仿宋_GB2312" w:eastAsia="仿宋_GB2312" w:hAnsi="仿宋" w:hint="eastAsia"/>
          <w:spacing w:val="1"/>
          <w:w w:val="95"/>
          <w:sz w:val="32"/>
          <w:szCs w:val="32"/>
        </w:rPr>
        <w:t>围</w:t>
      </w:r>
      <w:r w:rsidRPr="002D0501">
        <w:rPr>
          <w:rFonts w:ascii="仿宋_GB2312" w:eastAsia="仿宋_GB2312" w:hAnsi="仿宋" w:hint="eastAsia"/>
          <w:w w:val="95"/>
          <w:sz w:val="32"/>
          <w:szCs w:val="32"/>
        </w:rPr>
        <w:t>和内</w:t>
      </w:r>
      <w:r w:rsidRPr="002D0501">
        <w:rPr>
          <w:rFonts w:ascii="仿宋_GB2312" w:eastAsia="仿宋_GB2312" w:hAnsi="仿宋" w:hint="eastAsia"/>
          <w:spacing w:val="1"/>
          <w:w w:val="95"/>
          <w:sz w:val="32"/>
          <w:szCs w:val="32"/>
        </w:rPr>
        <w:t>容</w:t>
      </w:r>
      <w:r w:rsidRPr="002D0501">
        <w:rPr>
          <w:rFonts w:ascii="仿宋_GB2312" w:eastAsia="仿宋_GB2312" w:hAnsi="仿宋" w:hint="eastAsia"/>
          <w:spacing w:val="-56"/>
          <w:w w:val="95"/>
          <w:sz w:val="32"/>
          <w:szCs w:val="32"/>
        </w:rPr>
        <w:t>，</w:t>
      </w:r>
      <w:r w:rsidRPr="002D0501">
        <w:rPr>
          <w:rFonts w:ascii="仿宋_GB2312" w:eastAsia="仿宋_GB2312" w:hAnsi="仿宋" w:hint="eastAsia"/>
          <w:w w:val="95"/>
          <w:sz w:val="32"/>
          <w:szCs w:val="32"/>
        </w:rPr>
        <w:t>确定</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算项</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的绩效</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标</w:t>
      </w:r>
      <w:r w:rsidRPr="002D0501">
        <w:rPr>
          <w:rFonts w:ascii="仿宋_GB2312" w:eastAsia="仿宋_GB2312" w:hAnsi="仿宋" w:hint="eastAsia"/>
          <w:spacing w:val="-56"/>
          <w:w w:val="95"/>
          <w:sz w:val="32"/>
          <w:szCs w:val="32"/>
        </w:rPr>
        <w:t>、</w:t>
      </w:r>
      <w:r w:rsidRPr="002D0501">
        <w:rPr>
          <w:rFonts w:ascii="仿宋_GB2312" w:eastAsia="仿宋_GB2312" w:hAnsi="仿宋" w:hint="eastAsia"/>
          <w:spacing w:val="1"/>
          <w:w w:val="95"/>
          <w:sz w:val="32"/>
          <w:szCs w:val="32"/>
        </w:rPr>
        <w:t>绩</w:t>
      </w:r>
      <w:r w:rsidRPr="002D0501">
        <w:rPr>
          <w:rFonts w:ascii="仿宋_GB2312" w:eastAsia="仿宋_GB2312" w:hAnsi="仿宋" w:hint="eastAsia"/>
          <w:w w:val="95"/>
          <w:sz w:val="32"/>
          <w:szCs w:val="32"/>
        </w:rPr>
        <w:t>效指标</w:t>
      </w:r>
      <w:r w:rsidRPr="002D0501">
        <w:rPr>
          <w:rFonts w:ascii="仿宋_GB2312" w:eastAsia="仿宋_GB2312" w:hAnsi="仿宋" w:hint="eastAsia"/>
          <w:spacing w:val="1"/>
          <w:w w:val="95"/>
          <w:sz w:val="32"/>
          <w:szCs w:val="32"/>
        </w:rPr>
        <w:t>和</w:t>
      </w:r>
      <w:r w:rsidRPr="002D0501">
        <w:rPr>
          <w:rFonts w:ascii="仿宋_GB2312" w:eastAsia="仿宋_GB2312" w:hAnsi="仿宋" w:hint="eastAsia"/>
          <w:w w:val="95"/>
          <w:sz w:val="32"/>
          <w:szCs w:val="32"/>
        </w:rPr>
        <w:t>评价</w:t>
      </w:r>
      <w:r w:rsidRPr="002D0501">
        <w:rPr>
          <w:rFonts w:ascii="仿宋_GB2312" w:eastAsia="仿宋_GB2312" w:hAnsi="仿宋" w:hint="eastAsia"/>
          <w:spacing w:val="1"/>
          <w:w w:val="95"/>
          <w:sz w:val="32"/>
          <w:szCs w:val="32"/>
        </w:rPr>
        <w:t>标</w:t>
      </w:r>
      <w:r w:rsidRPr="002D0501">
        <w:rPr>
          <w:rFonts w:ascii="仿宋_GB2312" w:eastAsia="仿宋_GB2312" w:hAnsi="仿宋" w:hint="eastAsia"/>
          <w:w w:val="95"/>
          <w:sz w:val="32"/>
          <w:szCs w:val="32"/>
        </w:rPr>
        <w:t>准</w:t>
      </w:r>
      <w:r w:rsidRPr="002D0501">
        <w:rPr>
          <w:rFonts w:ascii="仿宋_GB2312" w:eastAsia="仿宋_GB2312" w:hAnsi="仿宋" w:hint="eastAsia"/>
          <w:spacing w:val="-38"/>
          <w:w w:val="95"/>
          <w:sz w:val="32"/>
          <w:szCs w:val="32"/>
        </w:rPr>
        <w:t>，</w:t>
      </w:r>
      <w:r w:rsidRPr="002D0501">
        <w:rPr>
          <w:rFonts w:ascii="仿宋_GB2312" w:eastAsia="仿宋_GB2312" w:hAnsi="仿宋" w:hint="eastAsia"/>
          <w:w w:val="95"/>
          <w:sz w:val="32"/>
          <w:szCs w:val="32"/>
        </w:rPr>
        <w:t>为</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算绩</w:t>
      </w:r>
      <w:r w:rsidRPr="002D0501">
        <w:rPr>
          <w:rFonts w:ascii="仿宋_GB2312" w:eastAsia="仿宋_GB2312" w:hAnsi="仿宋" w:hint="eastAsia"/>
          <w:spacing w:val="1"/>
          <w:w w:val="95"/>
          <w:sz w:val="32"/>
          <w:szCs w:val="32"/>
        </w:rPr>
        <w:t>效</w:t>
      </w:r>
      <w:r w:rsidRPr="002D0501">
        <w:rPr>
          <w:rFonts w:ascii="仿宋_GB2312" w:eastAsia="仿宋_GB2312" w:hAnsi="仿宋" w:hint="eastAsia"/>
          <w:w w:val="95"/>
          <w:sz w:val="32"/>
          <w:szCs w:val="32"/>
        </w:rPr>
        <w:t>控制</w:t>
      </w:r>
      <w:r w:rsidRPr="002D0501">
        <w:rPr>
          <w:rFonts w:ascii="仿宋_GB2312" w:eastAsia="仿宋_GB2312" w:hAnsi="仿宋" w:hint="eastAsia"/>
          <w:spacing w:val="-38"/>
          <w:w w:val="95"/>
          <w:sz w:val="32"/>
          <w:szCs w:val="32"/>
        </w:rPr>
        <w:t>、</w:t>
      </w:r>
      <w:r w:rsidRPr="002D0501">
        <w:rPr>
          <w:rFonts w:ascii="仿宋_GB2312" w:eastAsia="仿宋_GB2312" w:hAnsi="仿宋" w:hint="eastAsia"/>
          <w:spacing w:val="1"/>
          <w:w w:val="95"/>
          <w:sz w:val="32"/>
          <w:szCs w:val="32"/>
        </w:rPr>
        <w:t>绩</w:t>
      </w:r>
      <w:r w:rsidRPr="002D0501">
        <w:rPr>
          <w:rFonts w:ascii="仿宋_GB2312" w:eastAsia="仿宋_GB2312" w:hAnsi="仿宋" w:hint="eastAsia"/>
          <w:w w:val="95"/>
          <w:sz w:val="32"/>
          <w:szCs w:val="32"/>
        </w:rPr>
        <w:t>效分</w:t>
      </w:r>
      <w:r w:rsidRPr="002D0501">
        <w:rPr>
          <w:rFonts w:ascii="仿宋_GB2312" w:eastAsia="仿宋_GB2312" w:hAnsi="仿宋" w:hint="eastAsia"/>
          <w:spacing w:val="1"/>
          <w:w w:val="95"/>
          <w:sz w:val="32"/>
          <w:szCs w:val="32"/>
        </w:rPr>
        <w:t>析</w:t>
      </w:r>
      <w:r w:rsidRPr="002D0501">
        <w:rPr>
          <w:rFonts w:ascii="仿宋_GB2312" w:eastAsia="仿宋_GB2312" w:hAnsi="仿宋" w:hint="eastAsia"/>
          <w:spacing w:val="-38"/>
          <w:w w:val="95"/>
          <w:sz w:val="32"/>
          <w:szCs w:val="32"/>
        </w:rPr>
        <w:t>、</w:t>
      </w:r>
      <w:r w:rsidRPr="002D0501">
        <w:rPr>
          <w:rFonts w:ascii="仿宋_GB2312" w:eastAsia="仿宋_GB2312" w:hAnsi="仿宋" w:hint="eastAsia"/>
          <w:w w:val="95"/>
          <w:sz w:val="32"/>
          <w:szCs w:val="32"/>
        </w:rPr>
        <w:t>绩效</w:t>
      </w:r>
      <w:r w:rsidRPr="002D0501">
        <w:rPr>
          <w:rFonts w:ascii="仿宋_GB2312" w:eastAsia="仿宋_GB2312" w:hAnsi="仿宋" w:hint="eastAsia"/>
          <w:spacing w:val="1"/>
          <w:w w:val="95"/>
          <w:sz w:val="32"/>
          <w:szCs w:val="32"/>
        </w:rPr>
        <w:t>评</w:t>
      </w:r>
      <w:r w:rsidRPr="002D0501">
        <w:rPr>
          <w:rFonts w:ascii="仿宋_GB2312" w:eastAsia="仿宋_GB2312" w:hAnsi="仿宋" w:hint="eastAsia"/>
          <w:w w:val="95"/>
          <w:sz w:val="32"/>
          <w:szCs w:val="32"/>
        </w:rPr>
        <w:t>价打</w:t>
      </w:r>
      <w:r w:rsidRPr="002D0501">
        <w:rPr>
          <w:rFonts w:ascii="仿宋_GB2312" w:eastAsia="仿宋_GB2312" w:hAnsi="仿宋" w:hint="eastAsia"/>
          <w:spacing w:val="1"/>
          <w:w w:val="95"/>
          <w:sz w:val="32"/>
          <w:szCs w:val="32"/>
        </w:rPr>
        <w:t>下</w:t>
      </w:r>
      <w:r w:rsidRPr="002D0501">
        <w:rPr>
          <w:rFonts w:ascii="仿宋_GB2312" w:eastAsia="仿宋_GB2312" w:hAnsi="仿宋" w:hint="eastAsia"/>
          <w:w w:val="95"/>
          <w:sz w:val="32"/>
          <w:szCs w:val="32"/>
        </w:rPr>
        <w:t>好的基</w:t>
      </w:r>
      <w:r w:rsidRPr="002D0501">
        <w:rPr>
          <w:rFonts w:ascii="仿宋_GB2312" w:eastAsia="仿宋_GB2312" w:hAnsi="仿宋" w:hint="eastAsia"/>
          <w:spacing w:val="2"/>
          <w:sz w:val="32"/>
          <w:szCs w:val="32"/>
        </w:rPr>
        <w:t>础。</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2D0501" w:rsidRPr="002D0501" w:rsidRDefault="002D0501" w:rsidP="002D0501">
      <w:pPr>
        <w:pStyle w:val="ac"/>
        <w:spacing w:before="74" w:line="520" w:lineRule="exact"/>
        <w:ind w:right="429" w:firstLine="640"/>
        <w:rPr>
          <w:rFonts w:ascii="仿宋" w:eastAsia="仿宋" w:hAnsi="仿宋"/>
          <w:sz w:val="32"/>
          <w:szCs w:val="32"/>
        </w:rPr>
      </w:pPr>
      <w:r w:rsidRPr="00550552">
        <w:rPr>
          <w:rFonts w:ascii="仿宋" w:eastAsia="仿宋" w:hAnsi="仿宋" w:hint="eastAsia"/>
          <w:spacing w:val="2"/>
          <w:sz w:val="32"/>
          <w:szCs w:val="32"/>
        </w:rPr>
        <w:t>按</w:t>
      </w:r>
      <w:r w:rsidRPr="00550552">
        <w:rPr>
          <w:rFonts w:ascii="仿宋" w:eastAsia="仿宋" w:hAnsi="仿宋" w:hint="eastAsia"/>
          <w:sz w:val="32"/>
          <w:szCs w:val="32"/>
        </w:rPr>
        <w:t>照市</w:t>
      </w:r>
      <w:r w:rsidRPr="00550552">
        <w:rPr>
          <w:rFonts w:ascii="仿宋" w:eastAsia="仿宋" w:hAnsi="仿宋" w:hint="eastAsia"/>
          <w:spacing w:val="2"/>
          <w:sz w:val="32"/>
          <w:szCs w:val="32"/>
        </w:rPr>
        <w:t>财</w:t>
      </w:r>
      <w:r w:rsidRPr="00550552">
        <w:rPr>
          <w:rFonts w:ascii="仿宋" w:eastAsia="仿宋" w:hAnsi="仿宋" w:hint="eastAsia"/>
          <w:sz w:val="32"/>
          <w:szCs w:val="32"/>
        </w:rPr>
        <w:t>政预算</w:t>
      </w:r>
      <w:r w:rsidRPr="00550552">
        <w:rPr>
          <w:rFonts w:ascii="仿宋" w:eastAsia="仿宋" w:hAnsi="仿宋" w:hint="eastAsia"/>
          <w:spacing w:val="2"/>
          <w:sz w:val="32"/>
          <w:szCs w:val="32"/>
        </w:rPr>
        <w:t>绩</w:t>
      </w:r>
      <w:r w:rsidRPr="00550552">
        <w:rPr>
          <w:rFonts w:ascii="仿宋" w:eastAsia="仿宋" w:hAnsi="仿宋" w:hint="eastAsia"/>
          <w:sz w:val="32"/>
          <w:szCs w:val="32"/>
        </w:rPr>
        <w:t>效管</w:t>
      </w:r>
      <w:r w:rsidRPr="00550552">
        <w:rPr>
          <w:rFonts w:ascii="仿宋" w:eastAsia="仿宋" w:hAnsi="仿宋" w:hint="eastAsia"/>
          <w:spacing w:val="2"/>
          <w:sz w:val="32"/>
          <w:szCs w:val="32"/>
        </w:rPr>
        <w:t>理</w:t>
      </w:r>
      <w:r w:rsidRPr="00550552">
        <w:rPr>
          <w:rFonts w:ascii="仿宋" w:eastAsia="仿宋" w:hAnsi="仿宋" w:hint="eastAsia"/>
          <w:sz w:val="32"/>
          <w:szCs w:val="32"/>
        </w:rPr>
        <w:t>要求，对</w:t>
      </w:r>
      <w:r w:rsidRPr="00550552">
        <w:rPr>
          <w:rFonts w:ascii="仿宋" w:eastAsia="仿宋" w:hAnsi="仿宋" w:hint="eastAsia"/>
          <w:spacing w:val="-33"/>
          <w:sz w:val="32"/>
          <w:szCs w:val="32"/>
        </w:rPr>
        <w:t xml:space="preserve"> </w:t>
      </w:r>
      <w:r w:rsidRPr="00550552">
        <w:rPr>
          <w:rFonts w:ascii="仿宋" w:eastAsia="仿宋" w:hAnsi="仿宋" w:cs="Arial" w:hint="eastAsia"/>
          <w:sz w:val="32"/>
          <w:szCs w:val="32"/>
        </w:rPr>
        <w:t>20</w:t>
      </w:r>
      <w:r w:rsidRPr="00550552">
        <w:rPr>
          <w:rFonts w:ascii="仿宋" w:eastAsia="仿宋" w:hAnsi="仿宋" w:cs="Arial" w:hint="eastAsia"/>
          <w:spacing w:val="-3"/>
          <w:sz w:val="32"/>
          <w:szCs w:val="32"/>
        </w:rPr>
        <w:t>1</w:t>
      </w:r>
      <w:r>
        <w:rPr>
          <w:rFonts w:ascii="仿宋" w:eastAsia="仿宋" w:hAnsi="仿宋" w:cs="Arial" w:hint="eastAsia"/>
          <w:sz w:val="32"/>
          <w:szCs w:val="32"/>
        </w:rPr>
        <w:t>7</w:t>
      </w:r>
      <w:r w:rsidRPr="00550552">
        <w:rPr>
          <w:rFonts w:ascii="仿宋" w:eastAsia="仿宋" w:hAnsi="仿宋" w:cs="Arial" w:hint="eastAsia"/>
          <w:spacing w:val="-41"/>
          <w:sz w:val="32"/>
          <w:szCs w:val="32"/>
        </w:rPr>
        <w:t xml:space="preserve"> </w:t>
      </w:r>
      <w:r w:rsidRPr="00550552">
        <w:rPr>
          <w:rFonts w:ascii="仿宋" w:eastAsia="仿宋" w:hAnsi="仿宋" w:hint="eastAsia"/>
          <w:sz w:val="32"/>
          <w:szCs w:val="32"/>
        </w:rPr>
        <w:t>年</w:t>
      </w:r>
      <w:r w:rsidRPr="00550552">
        <w:rPr>
          <w:rFonts w:ascii="仿宋" w:eastAsia="仿宋" w:hAnsi="仿宋" w:hint="eastAsia"/>
          <w:spacing w:val="1"/>
          <w:w w:val="95"/>
          <w:sz w:val="32"/>
          <w:szCs w:val="32"/>
        </w:rPr>
        <w:t>确</w:t>
      </w:r>
      <w:r w:rsidRPr="00550552">
        <w:rPr>
          <w:rFonts w:ascii="仿宋" w:eastAsia="仿宋" w:hAnsi="仿宋" w:hint="eastAsia"/>
          <w:w w:val="95"/>
          <w:sz w:val="32"/>
          <w:szCs w:val="32"/>
        </w:rPr>
        <w:t>定的</w:t>
      </w:r>
      <w:r w:rsidRPr="00550552">
        <w:rPr>
          <w:rFonts w:ascii="仿宋" w:eastAsia="仿宋" w:hAnsi="仿宋" w:hint="eastAsia"/>
          <w:spacing w:val="1"/>
          <w:w w:val="95"/>
          <w:sz w:val="32"/>
          <w:szCs w:val="32"/>
        </w:rPr>
        <w:t>部</w:t>
      </w:r>
      <w:r w:rsidRPr="00550552">
        <w:rPr>
          <w:rFonts w:ascii="仿宋" w:eastAsia="仿宋" w:hAnsi="仿宋" w:hint="eastAsia"/>
          <w:w w:val="95"/>
          <w:sz w:val="32"/>
          <w:szCs w:val="32"/>
        </w:rPr>
        <w:t>门一般</w:t>
      </w:r>
      <w:r w:rsidRPr="00550552">
        <w:rPr>
          <w:rFonts w:ascii="仿宋" w:eastAsia="仿宋" w:hAnsi="仿宋" w:hint="eastAsia"/>
          <w:spacing w:val="1"/>
          <w:w w:val="95"/>
          <w:sz w:val="32"/>
          <w:szCs w:val="32"/>
        </w:rPr>
        <w:t>公</w:t>
      </w:r>
      <w:r w:rsidRPr="00550552">
        <w:rPr>
          <w:rFonts w:ascii="仿宋" w:eastAsia="仿宋" w:hAnsi="仿宋" w:hint="eastAsia"/>
          <w:w w:val="95"/>
          <w:sz w:val="32"/>
          <w:szCs w:val="32"/>
        </w:rPr>
        <w:t>共预</w:t>
      </w:r>
      <w:r w:rsidRPr="00550552">
        <w:rPr>
          <w:rFonts w:ascii="仿宋" w:eastAsia="仿宋" w:hAnsi="仿宋" w:hint="eastAsia"/>
          <w:spacing w:val="1"/>
          <w:w w:val="95"/>
          <w:sz w:val="32"/>
          <w:szCs w:val="32"/>
        </w:rPr>
        <w:t>算</w:t>
      </w:r>
      <w:r w:rsidRPr="00550552">
        <w:rPr>
          <w:rFonts w:ascii="仿宋" w:eastAsia="仿宋" w:hAnsi="仿宋" w:hint="eastAsia"/>
          <w:w w:val="95"/>
          <w:sz w:val="32"/>
          <w:szCs w:val="32"/>
        </w:rPr>
        <w:t>支出项</w:t>
      </w:r>
      <w:r w:rsidRPr="00550552">
        <w:rPr>
          <w:rFonts w:ascii="仿宋" w:eastAsia="仿宋" w:hAnsi="仿宋" w:hint="eastAsia"/>
          <w:spacing w:val="1"/>
          <w:w w:val="95"/>
          <w:sz w:val="32"/>
          <w:szCs w:val="32"/>
        </w:rPr>
        <w:t>目</w:t>
      </w:r>
      <w:r w:rsidRPr="00550552">
        <w:rPr>
          <w:rFonts w:ascii="仿宋" w:eastAsia="仿宋" w:hAnsi="仿宋" w:hint="eastAsia"/>
          <w:w w:val="95"/>
          <w:sz w:val="32"/>
          <w:szCs w:val="32"/>
        </w:rPr>
        <w:t>全面</w:t>
      </w:r>
      <w:r w:rsidRPr="00550552">
        <w:rPr>
          <w:rFonts w:ascii="仿宋" w:eastAsia="仿宋" w:hAnsi="仿宋" w:hint="eastAsia"/>
          <w:spacing w:val="1"/>
          <w:w w:val="95"/>
          <w:sz w:val="32"/>
          <w:szCs w:val="32"/>
        </w:rPr>
        <w:t>开</w:t>
      </w:r>
      <w:r w:rsidRPr="00550552">
        <w:rPr>
          <w:rFonts w:ascii="仿宋" w:eastAsia="仿宋" w:hAnsi="仿宋" w:hint="eastAsia"/>
          <w:w w:val="95"/>
          <w:sz w:val="32"/>
          <w:szCs w:val="32"/>
        </w:rPr>
        <w:t>展了绩</w:t>
      </w:r>
      <w:r w:rsidRPr="00550552">
        <w:rPr>
          <w:rFonts w:ascii="仿宋" w:eastAsia="仿宋" w:hAnsi="仿宋" w:hint="eastAsia"/>
          <w:spacing w:val="1"/>
          <w:w w:val="95"/>
          <w:sz w:val="32"/>
          <w:szCs w:val="32"/>
        </w:rPr>
        <w:t>效</w:t>
      </w:r>
      <w:r w:rsidRPr="00550552">
        <w:rPr>
          <w:rFonts w:ascii="仿宋" w:eastAsia="仿宋" w:hAnsi="仿宋" w:hint="eastAsia"/>
          <w:w w:val="95"/>
          <w:sz w:val="32"/>
          <w:szCs w:val="32"/>
        </w:rPr>
        <w:t>自评</w:t>
      </w:r>
      <w:r w:rsidRPr="00550552">
        <w:rPr>
          <w:rFonts w:ascii="仿宋" w:eastAsia="仿宋" w:hAnsi="仿宋" w:hint="eastAsia"/>
          <w:spacing w:val="-112"/>
          <w:w w:val="95"/>
          <w:sz w:val="32"/>
          <w:szCs w:val="32"/>
        </w:rPr>
        <w:t>。</w:t>
      </w:r>
    </w:p>
    <w:p w:rsidR="00922797" w:rsidRDefault="000A2777">
      <w:pPr>
        <w:adjustRightInd w:val="0"/>
        <w:snapToGrid w:val="0"/>
        <w:spacing w:after="0" w:line="58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（三）重点项目绩效评价结果。</w:t>
      </w:r>
      <w:r w:rsidR="00F12C0D">
        <w:rPr>
          <w:rFonts w:ascii="仿宋_GB2312" w:eastAsia="仿宋_GB2312" w:cs="DengXian-Regular" w:hint="eastAsia"/>
          <w:sz w:val="32"/>
          <w:szCs w:val="32"/>
        </w:rPr>
        <w:t xml:space="preserve"> </w:t>
      </w:r>
    </w:p>
    <w:p w:rsidR="00127B3E" w:rsidRDefault="00127B3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本部门2018年度重点项目绩效评价结果均为良好。</w:t>
      </w:r>
      <w:bookmarkStart w:id="0" w:name="_GoBack"/>
      <w:bookmarkEnd w:id="0"/>
    </w:p>
    <w:p w:rsidR="00922797" w:rsidRDefault="000A277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22797" w:rsidRDefault="000A277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2D0501">
        <w:rPr>
          <w:rFonts w:ascii="仿宋_GB2312" w:eastAsia="仿宋_GB2312" w:cs="DengXian-Regular" w:hint="eastAsia"/>
          <w:sz w:val="32"/>
          <w:szCs w:val="32"/>
        </w:rPr>
        <w:t>100.07</w:t>
      </w:r>
      <w:r>
        <w:rPr>
          <w:rFonts w:ascii="仿宋_GB2312" w:eastAsia="仿宋_GB2312" w:cs="DengXian-Regular" w:hint="eastAsia"/>
          <w:sz w:val="32"/>
          <w:szCs w:val="32"/>
        </w:rPr>
        <w:t>万元，比年初预算数减少</w:t>
      </w:r>
      <w:r w:rsidR="00F12C0D">
        <w:rPr>
          <w:rFonts w:eastAsia="仿宋_GB2312" w:hint="eastAsia"/>
          <w:sz w:val="32"/>
          <w:szCs w:val="32"/>
        </w:rPr>
        <w:t>24.19</w:t>
      </w:r>
      <w:r>
        <w:rPr>
          <w:rFonts w:ascii="仿宋_GB2312" w:eastAsia="仿宋_GB2312" w:cs="DengXian-Regular" w:hint="eastAsia"/>
          <w:sz w:val="32"/>
          <w:szCs w:val="32"/>
        </w:rPr>
        <w:t>万元，降低</w:t>
      </w:r>
      <w:r w:rsidR="00F12C0D">
        <w:rPr>
          <w:rFonts w:ascii="仿宋_GB2312" w:eastAsia="仿宋_GB2312" w:cs="DengXian-Regular" w:hint="eastAsia"/>
          <w:sz w:val="32"/>
          <w:szCs w:val="32"/>
        </w:rPr>
        <w:t>19.47</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sidR="00F12C0D">
        <w:rPr>
          <w:rFonts w:ascii="仿宋_GB2312" w:eastAsia="仿宋_GB2312" w:cs="DengXian-Regular" w:hint="eastAsia"/>
          <w:sz w:val="32"/>
          <w:szCs w:val="32"/>
        </w:rPr>
        <w:t>压缩一般公共预算开支</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sidR="00E7758C">
        <w:rPr>
          <w:rFonts w:eastAsia="仿宋_GB2312" w:hint="eastAsia"/>
          <w:sz w:val="32"/>
          <w:szCs w:val="32"/>
        </w:rPr>
        <w:t>8.8</w:t>
      </w:r>
      <w:r>
        <w:rPr>
          <w:rFonts w:eastAsia="仿宋_GB2312"/>
          <w:sz w:val="32"/>
          <w:szCs w:val="32"/>
        </w:rPr>
        <w:t>万元，降低</w:t>
      </w:r>
      <w:r w:rsidR="00E7758C">
        <w:rPr>
          <w:rFonts w:eastAsia="仿宋_GB2312" w:hint="eastAsia"/>
          <w:sz w:val="32"/>
          <w:szCs w:val="32"/>
        </w:rPr>
        <w:t>8.04</w:t>
      </w:r>
      <w:r>
        <w:rPr>
          <w:rFonts w:eastAsia="仿宋_GB2312"/>
          <w:sz w:val="32"/>
          <w:szCs w:val="32"/>
        </w:rPr>
        <w:t>%</w:t>
      </w:r>
      <w:r>
        <w:rPr>
          <w:rFonts w:eastAsia="仿宋_GB2312"/>
          <w:sz w:val="32"/>
          <w:szCs w:val="32"/>
        </w:rPr>
        <w:t>，</w:t>
      </w:r>
      <w:r w:rsidR="00E7758C">
        <w:rPr>
          <w:rFonts w:ascii="仿宋_GB2312" w:eastAsia="仿宋_GB2312" w:cs="DengXian-Regular" w:hint="eastAsia"/>
          <w:sz w:val="32"/>
          <w:szCs w:val="32"/>
        </w:rPr>
        <w:t>主要是压缩一般公共预算开支</w:t>
      </w:r>
      <w:r>
        <w:rPr>
          <w:rFonts w:eastAsia="仿宋_GB2312"/>
          <w:sz w:val="32"/>
          <w:szCs w:val="32"/>
        </w:rPr>
        <w:t>。</w:t>
      </w:r>
    </w:p>
    <w:p w:rsidR="00922797" w:rsidRDefault="000A277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922797" w:rsidRDefault="000A2777">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E7758C">
        <w:rPr>
          <w:rFonts w:ascii="仿宋_GB2312" w:eastAsia="仿宋_GB2312" w:cs="DengXian-Regular" w:hint="eastAsia"/>
          <w:sz w:val="32"/>
          <w:szCs w:val="32"/>
        </w:rPr>
        <w:t>488.64</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E7758C">
        <w:rPr>
          <w:rFonts w:ascii="仿宋_GB2312" w:eastAsia="仿宋_GB2312" w:hAnsi="仿宋_GB2312" w:cs="仿宋_GB2312" w:hint="eastAsia"/>
          <w:color w:val="000000"/>
          <w:kern w:val="0"/>
          <w:sz w:val="32"/>
          <w:szCs w:val="32"/>
        </w:rPr>
        <w:t>349.59</w:t>
      </w:r>
      <w:r>
        <w:rPr>
          <w:rFonts w:ascii="仿宋_GB2312" w:eastAsia="仿宋_GB2312" w:hAnsi="仿宋_GB2312" w:cs="仿宋_GB2312"/>
          <w:color w:val="000000"/>
          <w:kern w:val="0"/>
          <w:sz w:val="32"/>
          <w:szCs w:val="32"/>
        </w:rPr>
        <w:t>万元、政府采购工程支出</w:t>
      </w:r>
      <w:r w:rsidR="00E7758C">
        <w:rPr>
          <w:rFonts w:ascii="仿宋_GB2312" w:eastAsia="仿宋_GB2312" w:hAnsi="仿宋_GB2312" w:cs="仿宋_GB2312" w:hint="eastAsia"/>
          <w:color w:val="000000"/>
          <w:kern w:val="0"/>
          <w:sz w:val="32"/>
          <w:szCs w:val="32"/>
        </w:rPr>
        <w:t>109.2</w:t>
      </w:r>
      <w:r>
        <w:rPr>
          <w:rFonts w:ascii="仿宋_GB2312" w:eastAsia="仿宋_GB2312" w:hAnsi="仿宋_GB2312" w:cs="仿宋_GB2312"/>
          <w:color w:val="000000"/>
          <w:kern w:val="0"/>
          <w:sz w:val="32"/>
          <w:szCs w:val="32"/>
        </w:rPr>
        <w:t>万元、政府采购服务支出</w:t>
      </w:r>
      <w:r w:rsidR="00E7758C">
        <w:rPr>
          <w:rFonts w:ascii="仿宋_GB2312" w:eastAsia="仿宋_GB2312" w:hAnsi="仿宋_GB2312" w:cs="仿宋_GB2312" w:hint="eastAsia"/>
          <w:color w:val="000000"/>
          <w:kern w:val="0"/>
          <w:sz w:val="32"/>
          <w:szCs w:val="32"/>
        </w:rPr>
        <w:t>29.85</w:t>
      </w:r>
      <w:r>
        <w:rPr>
          <w:rFonts w:ascii="仿宋_GB2312" w:eastAsia="仿宋_GB2312" w:hAnsi="仿宋_GB2312" w:cs="仿宋_GB2312"/>
          <w:color w:val="000000"/>
          <w:kern w:val="0"/>
          <w:sz w:val="32"/>
          <w:szCs w:val="32"/>
        </w:rPr>
        <w:t>万元。授予中小企业合同金</w:t>
      </w:r>
      <w:r w:rsidR="00E7758C">
        <w:rPr>
          <w:rFonts w:ascii="仿宋_GB2312" w:eastAsia="仿宋_GB2312" w:hAnsi="仿宋_GB2312" w:cs="仿宋_GB2312" w:hint="eastAsia"/>
          <w:color w:val="000000"/>
          <w:kern w:val="0"/>
          <w:sz w:val="32"/>
          <w:szCs w:val="32"/>
        </w:rPr>
        <w:t>488.64</w:t>
      </w:r>
      <w:r>
        <w:rPr>
          <w:rFonts w:ascii="仿宋_GB2312" w:eastAsia="仿宋_GB2312" w:hAnsi="仿宋_GB2312" w:cs="仿宋_GB2312"/>
          <w:color w:val="000000"/>
          <w:kern w:val="0"/>
          <w:sz w:val="32"/>
          <w:szCs w:val="32"/>
        </w:rPr>
        <w:t>万元，占政府采购支出总额的</w:t>
      </w:r>
      <w:r w:rsidR="00E7758C">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E7758C">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E7758C">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922797" w:rsidRDefault="000A277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E7758C">
        <w:rPr>
          <w:rFonts w:ascii="仿宋_GB2312" w:eastAsia="仿宋_GB2312" w:cs="DengXian-Regular" w:hint="eastAsia"/>
          <w:sz w:val="32"/>
          <w:szCs w:val="32"/>
        </w:rPr>
        <w:t>3</w:t>
      </w:r>
      <w:r>
        <w:rPr>
          <w:rFonts w:ascii="仿宋_GB2312" w:eastAsia="仿宋_GB2312" w:cs="DengXian-Regular" w:hint="eastAsia"/>
          <w:sz w:val="32"/>
          <w:szCs w:val="32"/>
        </w:rPr>
        <w:t>辆，</w:t>
      </w:r>
      <w:r w:rsidR="00E7758C">
        <w:rPr>
          <w:rFonts w:ascii="仿宋_GB2312" w:eastAsia="仿宋_GB2312" w:cs="DengXian-Regular" w:hint="eastAsia"/>
          <w:sz w:val="32"/>
          <w:szCs w:val="32"/>
        </w:rPr>
        <w:t>较</w:t>
      </w:r>
      <w:r>
        <w:rPr>
          <w:rFonts w:ascii="仿宋_GB2312" w:eastAsia="仿宋_GB2312" w:cs="DengXian-Regular" w:hint="eastAsia"/>
          <w:sz w:val="32"/>
          <w:szCs w:val="32"/>
        </w:rPr>
        <w:t>上年</w:t>
      </w:r>
      <w:r w:rsidR="00E7758C">
        <w:rPr>
          <w:rFonts w:ascii="仿宋_GB2312" w:eastAsia="仿宋_GB2312" w:cs="DengXian-Regular" w:hint="eastAsia"/>
          <w:sz w:val="32"/>
          <w:szCs w:val="32"/>
        </w:rPr>
        <w:t>无增减变化</w:t>
      </w:r>
      <w:r>
        <w:rPr>
          <w:rFonts w:ascii="仿宋_GB2312" w:eastAsia="仿宋_GB2312" w:cs="DengXian-Regular" w:hint="eastAsia"/>
          <w:sz w:val="32"/>
          <w:szCs w:val="32"/>
        </w:rPr>
        <w:t>，主要是</w:t>
      </w:r>
      <w:r w:rsidR="00E7758C">
        <w:rPr>
          <w:rFonts w:ascii="仿宋_GB2312" w:eastAsia="仿宋_GB2312" w:cs="DengXian-Regular" w:hint="eastAsia"/>
          <w:sz w:val="32"/>
          <w:szCs w:val="32"/>
        </w:rPr>
        <w:t>未发生公务车辆增减</w:t>
      </w:r>
      <w:r>
        <w:rPr>
          <w:rFonts w:ascii="仿宋_GB2312" w:eastAsia="仿宋_GB2312" w:cs="DengXian-Regular" w:hint="eastAsia"/>
          <w:sz w:val="32"/>
          <w:szCs w:val="32"/>
        </w:rPr>
        <w:t>。其中，副部（省）级及以上领导用车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E7758C">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sidR="00E7758C">
        <w:rPr>
          <w:rFonts w:ascii="仿宋_GB2312" w:eastAsia="仿宋_GB2312" w:cs="DengXian-Regular" w:hint="eastAsia"/>
          <w:sz w:val="32"/>
          <w:szCs w:val="32"/>
        </w:rPr>
        <w:t>2</w:t>
      </w:r>
      <w:r>
        <w:rPr>
          <w:rFonts w:ascii="仿宋_GB2312" w:eastAsia="仿宋_GB2312" w:cs="DengXian-Regular" w:hint="eastAsia"/>
          <w:sz w:val="32"/>
          <w:szCs w:val="32"/>
        </w:rPr>
        <w:t>辆，执法执勤用车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E7758C">
        <w:rPr>
          <w:rFonts w:ascii="仿宋_GB2312" w:eastAsia="仿宋_GB2312" w:cs="DengXian-Regular" w:hint="eastAsia"/>
          <w:sz w:val="32"/>
          <w:szCs w:val="32"/>
        </w:rPr>
        <w:t>0辆</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E7758C">
        <w:rPr>
          <w:rFonts w:ascii="仿宋_GB2312" w:eastAsia="仿宋_GB2312" w:cs="DengXian-Regular" w:hint="eastAsia"/>
          <w:sz w:val="32"/>
          <w:szCs w:val="32"/>
        </w:rPr>
        <w:t>0</w:t>
      </w:r>
      <w:r>
        <w:rPr>
          <w:rFonts w:ascii="仿宋_GB2312" w:eastAsia="仿宋_GB2312" w:cs="DengXian-Regular" w:hint="eastAsia"/>
          <w:sz w:val="32"/>
          <w:szCs w:val="32"/>
        </w:rPr>
        <w:t>台（套），</w:t>
      </w:r>
      <w:r w:rsidR="00E7758C">
        <w:rPr>
          <w:rFonts w:ascii="仿宋_GB2312" w:eastAsia="仿宋_GB2312" w:cs="DengXian-Regular" w:hint="eastAsia"/>
          <w:sz w:val="32"/>
          <w:szCs w:val="32"/>
        </w:rPr>
        <w:t>较上年无增减变化</w:t>
      </w:r>
      <w:r>
        <w:rPr>
          <w:rFonts w:ascii="仿宋_GB2312" w:eastAsia="仿宋_GB2312" w:cs="DengXian-Regular" w:hint="eastAsia"/>
          <w:sz w:val="32"/>
          <w:szCs w:val="32"/>
        </w:rPr>
        <w:t>，主要是</w:t>
      </w:r>
      <w:r w:rsidR="00E7758C">
        <w:rPr>
          <w:rFonts w:ascii="仿宋_GB2312" w:eastAsia="仿宋_GB2312" w:cs="DengXian-Regular" w:hint="eastAsia"/>
          <w:sz w:val="32"/>
          <w:szCs w:val="32"/>
        </w:rPr>
        <w:t>未发生增减</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E7758C">
        <w:rPr>
          <w:rFonts w:ascii="仿宋_GB2312" w:eastAsia="仿宋_GB2312" w:cs="DengXian-Regular" w:hint="eastAsia"/>
          <w:sz w:val="32"/>
          <w:szCs w:val="32"/>
        </w:rPr>
        <w:t>0</w:t>
      </w:r>
      <w:r>
        <w:rPr>
          <w:rFonts w:ascii="仿宋_GB2312" w:eastAsia="仿宋_GB2312" w:cs="DengXian-Regular" w:hint="eastAsia"/>
          <w:sz w:val="32"/>
          <w:szCs w:val="32"/>
        </w:rPr>
        <w:t>台（套）</w:t>
      </w:r>
      <w:r w:rsidR="00E7758C">
        <w:rPr>
          <w:rFonts w:ascii="仿宋_GB2312" w:eastAsia="仿宋_GB2312" w:cs="DengXian-Regular" w:hint="eastAsia"/>
          <w:sz w:val="32"/>
          <w:szCs w:val="32"/>
        </w:rPr>
        <w:t>，较上年无增减变化，</w:t>
      </w:r>
      <w:r w:rsidR="00E7758C">
        <w:rPr>
          <w:rFonts w:ascii="仿宋_GB2312" w:eastAsia="仿宋_GB2312" w:cs="DengXian-Regular" w:hint="eastAsia"/>
          <w:sz w:val="32"/>
          <w:szCs w:val="32"/>
        </w:rPr>
        <w:lastRenderedPageBreak/>
        <w:t>主要是未发生增减</w:t>
      </w:r>
      <w:r>
        <w:rPr>
          <w:rFonts w:ascii="仿宋_GB2312" w:eastAsia="仿宋_GB2312" w:cs="DengXian-Regular" w:hint="eastAsia"/>
          <w:sz w:val="32"/>
          <w:szCs w:val="32"/>
        </w:rPr>
        <w:t>。</w:t>
      </w:r>
    </w:p>
    <w:p w:rsidR="00922797" w:rsidRDefault="000A277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A94E38">
        <w:rPr>
          <w:rFonts w:ascii="仿宋_GB2312" w:eastAsia="仿宋_GB2312" w:cs="DengXian-Regular" w:hint="eastAsia"/>
          <w:sz w:val="32"/>
          <w:szCs w:val="32"/>
        </w:rPr>
        <w:t>国有资本经营预算财政拨款</w:t>
      </w:r>
      <w:r>
        <w:rPr>
          <w:rFonts w:ascii="仿宋_GB2312" w:eastAsia="仿宋_GB2312" w:cs="DengXian-Regular" w:hint="eastAsia"/>
          <w:sz w:val="32"/>
          <w:szCs w:val="32"/>
        </w:rPr>
        <w:t>无收支及结转结余情况，故</w:t>
      </w:r>
      <w:r w:rsidR="00A94E38" w:rsidRPr="00A94E38">
        <w:rPr>
          <w:rFonts w:ascii="仿宋_GB2312" w:eastAsia="仿宋_GB2312" w:cs="DengXian-Regular" w:hint="eastAsia"/>
          <w:sz w:val="32"/>
          <w:szCs w:val="32"/>
        </w:rPr>
        <w:t>国有资本经营预算财政拨款支出</w:t>
      </w:r>
      <w:r w:rsidR="00A94E38">
        <w:rPr>
          <w:rFonts w:ascii="仿宋_GB2312" w:eastAsia="仿宋_GB2312" w:cs="DengXian-Regular" w:hint="eastAsia"/>
          <w:sz w:val="32"/>
          <w:szCs w:val="32"/>
        </w:rPr>
        <w:t>决算</w:t>
      </w:r>
      <w:r>
        <w:rPr>
          <w:rFonts w:ascii="仿宋_GB2312" w:eastAsia="仿宋_GB2312" w:cs="DengXian-Regular" w:hint="eastAsia"/>
          <w:sz w:val="32"/>
          <w:szCs w:val="32"/>
        </w:rPr>
        <w:t>表以空表列示。</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922797" w:rsidRDefault="00922797">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922797">
          <w:pgSz w:w="11906" w:h="16838"/>
          <w:pgMar w:top="2098" w:right="1474" w:bottom="1984" w:left="1588" w:header="851" w:footer="992" w:gutter="0"/>
          <w:cols w:space="0"/>
          <w:docGrid w:type="lines" w:linePitch="312"/>
        </w:sect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0A2777">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922797" w:rsidRDefault="000A2777">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922797" w:rsidRDefault="00922797">
      <w:pPr>
        <w:rPr>
          <w:rFonts w:ascii="宋体" w:hAnsi="宋体" w:cs="ArialUnicodeMS"/>
          <w:color w:val="000000"/>
          <w:kern w:val="0"/>
        </w:rPr>
        <w:sectPr w:rsidR="00922797">
          <w:pgSz w:w="11906" w:h="16838"/>
          <w:pgMar w:top="2098" w:right="1474" w:bottom="1984" w:left="1588" w:header="851" w:footer="992" w:gutter="0"/>
          <w:cols w:space="0"/>
          <w:docGrid w:type="lines" w:linePitch="312"/>
        </w:sectPr>
      </w:pP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922797" w:rsidRDefault="000A277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22797" w:rsidRDefault="000A2777">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rPr>
          <w:rFonts w:ascii="仿宋_GB2312" w:eastAsia="仿宋_GB2312" w:hAnsiTheme="minorHAnsi" w:cs="ArialUnicodeMS"/>
          <w:kern w:val="0"/>
          <w:sz w:val="32"/>
          <w:szCs w:val="32"/>
        </w:rPr>
      </w:pPr>
    </w:p>
    <w:sectPr w:rsidR="0092279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77" w:rsidRDefault="000A2777" w:rsidP="000A2777">
      <w:pPr>
        <w:spacing w:after="0" w:line="240" w:lineRule="auto"/>
      </w:pPr>
      <w:r>
        <w:separator/>
      </w:r>
    </w:p>
  </w:endnote>
  <w:endnote w:type="continuationSeparator" w:id="0">
    <w:p w:rsidR="000A2777" w:rsidRDefault="000A2777" w:rsidP="000A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D74620B5-2314-45F5-BE46-7C5E56C72096}"/>
  </w:font>
  <w:font w:name="小标宋">
    <w:altName w:val="黑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53551C8D-A1BB-46D1-AEC9-40EBAE9B79FD}"/>
    <w:embedBold r:id="rId3" w:subsetted="1" w:fontKey="{A4D6B62A-952D-41F7-B500-2426FB1A10E9}"/>
  </w:font>
  <w:font w:name="仿宋">
    <w:panose1 w:val="02010609060101010101"/>
    <w:charset w:val="86"/>
    <w:family w:val="modern"/>
    <w:pitch w:val="fixed"/>
    <w:sig w:usb0="800002BF" w:usb1="38CF7CFA" w:usb2="00000016" w:usb3="00000000" w:csb0="00040001" w:csb1="00000000"/>
    <w:embedRegular r:id="rId4" w:subsetted="1" w:fontKey="{A6C6FC74-4EDC-4F8B-B5A0-2423EBBE4FAA}"/>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embedBold r:id="rId5" w:subsetted="1" w:fontKey="{FC5004C1-D0E9-4FFD-AD2A-55DB27889D3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77" w:rsidRDefault="000A2777" w:rsidP="000A2777">
      <w:pPr>
        <w:spacing w:after="0" w:line="240" w:lineRule="auto"/>
      </w:pPr>
      <w:r>
        <w:separator/>
      </w:r>
    </w:p>
  </w:footnote>
  <w:footnote w:type="continuationSeparator" w:id="0">
    <w:p w:rsidR="000A2777" w:rsidRDefault="000A2777" w:rsidP="000A2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51433"/>
    <w:rsid w:val="00067693"/>
    <w:rsid w:val="000838C3"/>
    <w:rsid w:val="000A2777"/>
    <w:rsid w:val="000B2446"/>
    <w:rsid w:val="000D7C65"/>
    <w:rsid w:val="000E2F81"/>
    <w:rsid w:val="00101F8D"/>
    <w:rsid w:val="00117946"/>
    <w:rsid w:val="00117E2C"/>
    <w:rsid w:val="00127B3E"/>
    <w:rsid w:val="00146C47"/>
    <w:rsid w:val="00152FB8"/>
    <w:rsid w:val="00176658"/>
    <w:rsid w:val="0018239E"/>
    <w:rsid w:val="001B3410"/>
    <w:rsid w:val="001B7503"/>
    <w:rsid w:val="001C030D"/>
    <w:rsid w:val="001C4A84"/>
    <w:rsid w:val="001E5902"/>
    <w:rsid w:val="00233705"/>
    <w:rsid w:val="00243102"/>
    <w:rsid w:val="00246D99"/>
    <w:rsid w:val="00257266"/>
    <w:rsid w:val="00262306"/>
    <w:rsid w:val="00275CA2"/>
    <w:rsid w:val="002A65A5"/>
    <w:rsid w:val="002C04C4"/>
    <w:rsid w:val="002C2B20"/>
    <w:rsid w:val="002D0501"/>
    <w:rsid w:val="002D08B0"/>
    <w:rsid w:val="002D1AE3"/>
    <w:rsid w:val="002F2ECE"/>
    <w:rsid w:val="00341C8F"/>
    <w:rsid w:val="0035463A"/>
    <w:rsid w:val="0036573E"/>
    <w:rsid w:val="00391D9D"/>
    <w:rsid w:val="003B6BC0"/>
    <w:rsid w:val="003B6C51"/>
    <w:rsid w:val="003C1413"/>
    <w:rsid w:val="003C549F"/>
    <w:rsid w:val="003D5A16"/>
    <w:rsid w:val="003E7DB3"/>
    <w:rsid w:val="00431175"/>
    <w:rsid w:val="004374A3"/>
    <w:rsid w:val="00493686"/>
    <w:rsid w:val="00494178"/>
    <w:rsid w:val="004B6E37"/>
    <w:rsid w:val="004C32BA"/>
    <w:rsid w:val="004C68EF"/>
    <w:rsid w:val="00562D93"/>
    <w:rsid w:val="00575922"/>
    <w:rsid w:val="005A3C0D"/>
    <w:rsid w:val="005A6C90"/>
    <w:rsid w:val="005B37E6"/>
    <w:rsid w:val="005D2B5E"/>
    <w:rsid w:val="005E3FB0"/>
    <w:rsid w:val="005F4B66"/>
    <w:rsid w:val="005F5208"/>
    <w:rsid w:val="00615C31"/>
    <w:rsid w:val="00641318"/>
    <w:rsid w:val="0064405D"/>
    <w:rsid w:val="00695557"/>
    <w:rsid w:val="006B1154"/>
    <w:rsid w:val="006D4EA7"/>
    <w:rsid w:val="0070012A"/>
    <w:rsid w:val="0070664B"/>
    <w:rsid w:val="007071B8"/>
    <w:rsid w:val="007155C2"/>
    <w:rsid w:val="007414DE"/>
    <w:rsid w:val="00760C0C"/>
    <w:rsid w:val="007905A9"/>
    <w:rsid w:val="007C4917"/>
    <w:rsid w:val="007E072B"/>
    <w:rsid w:val="007E5500"/>
    <w:rsid w:val="007F055B"/>
    <w:rsid w:val="007F3F2E"/>
    <w:rsid w:val="00811C2F"/>
    <w:rsid w:val="00833D46"/>
    <w:rsid w:val="00836215"/>
    <w:rsid w:val="00840A97"/>
    <w:rsid w:val="008640A0"/>
    <w:rsid w:val="00872B02"/>
    <w:rsid w:val="00873292"/>
    <w:rsid w:val="008A640A"/>
    <w:rsid w:val="008C0149"/>
    <w:rsid w:val="008D5DED"/>
    <w:rsid w:val="008E25CA"/>
    <w:rsid w:val="008F34FC"/>
    <w:rsid w:val="00922797"/>
    <w:rsid w:val="00944CD7"/>
    <w:rsid w:val="00961190"/>
    <w:rsid w:val="009831B2"/>
    <w:rsid w:val="009A1ABE"/>
    <w:rsid w:val="009D04AC"/>
    <w:rsid w:val="009E21A4"/>
    <w:rsid w:val="009F22C6"/>
    <w:rsid w:val="00A07E50"/>
    <w:rsid w:val="00A12C15"/>
    <w:rsid w:val="00A15397"/>
    <w:rsid w:val="00A35CE0"/>
    <w:rsid w:val="00A4462E"/>
    <w:rsid w:val="00A44AA4"/>
    <w:rsid w:val="00A50A85"/>
    <w:rsid w:val="00A61623"/>
    <w:rsid w:val="00A84687"/>
    <w:rsid w:val="00A94E38"/>
    <w:rsid w:val="00AA0458"/>
    <w:rsid w:val="00AB0A0E"/>
    <w:rsid w:val="00AD3B6E"/>
    <w:rsid w:val="00AF6D31"/>
    <w:rsid w:val="00B1751F"/>
    <w:rsid w:val="00B50F96"/>
    <w:rsid w:val="00B56722"/>
    <w:rsid w:val="00B67044"/>
    <w:rsid w:val="00B7462E"/>
    <w:rsid w:val="00B74D39"/>
    <w:rsid w:val="00B827C6"/>
    <w:rsid w:val="00B91DA4"/>
    <w:rsid w:val="00BA7174"/>
    <w:rsid w:val="00C12630"/>
    <w:rsid w:val="00C34562"/>
    <w:rsid w:val="00C3774E"/>
    <w:rsid w:val="00C435CC"/>
    <w:rsid w:val="00C57456"/>
    <w:rsid w:val="00C65387"/>
    <w:rsid w:val="00C84F44"/>
    <w:rsid w:val="00C87FAB"/>
    <w:rsid w:val="00C91FF7"/>
    <w:rsid w:val="00C92D15"/>
    <w:rsid w:val="00C94E53"/>
    <w:rsid w:val="00CB30C7"/>
    <w:rsid w:val="00CC6A32"/>
    <w:rsid w:val="00CE3FC3"/>
    <w:rsid w:val="00D0048E"/>
    <w:rsid w:val="00D23E7A"/>
    <w:rsid w:val="00D56D8F"/>
    <w:rsid w:val="00D61063"/>
    <w:rsid w:val="00DB35AF"/>
    <w:rsid w:val="00DD72D7"/>
    <w:rsid w:val="00DF5B88"/>
    <w:rsid w:val="00E0589E"/>
    <w:rsid w:val="00E0697F"/>
    <w:rsid w:val="00E241FA"/>
    <w:rsid w:val="00E2595E"/>
    <w:rsid w:val="00E32A1A"/>
    <w:rsid w:val="00E35374"/>
    <w:rsid w:val="00E50C19"/>
    <w:rsid w:val="00E64655"/>
    <w:rsid w:val="00E73081"/>
    <w:rsid w:val="00E7758C"/>
    <w:rsid w:val="00E856C9"/>
    <w:rsid w:val="00EA4F68"/>
    <w:rsid w:val="00EB6A8B"/>
    <w:rsid w:val="00EC6814"/>
    <w:rsid w:val="00ED411D"/>
    <w:rsid w:val="00EF38C6"/>
    <w:rsid w:val="00EF752B"/>
    <w:rsid w:val="00F12C0D"/>
    <w:rsid w:val="00F20E1B"/>
    <w:rsid w:val="00F679C7"/>
    <w:rsid w:val="00F7711A"/>
    <w:rsid w:val="00F80C72"/>
    <w:rsid w:val="00FA0D58"/>
    <w:rsid w:val="00FA1580"/>
    <w:rsid w:val="00FA3B94"/>
    <w:rsid w:val="00FA56F4"/>
    <w:rsid w:val="00FB4EDA"/>
    <w:rsid w:val="00FD3BD5"/>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No Spacing"/>
    <w:link w:val="Char5"/>
    <w:uiPriority w:val="1"/>
    <w:qFormat/>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a"/>
    <w:uiPriority w:val="1"/>
    <w:qFormat/>
    <w:rPr>
      <w:kern w:val="0"/>
      <w:sz w:val="2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4">
    <w:name w:val="标题 Char"/>
    <w:basedOn w:val="a0"/>
    <w:link w:val="a8"/>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paragraph" w:styleId="ab">
    <w:name w:val="List Paragraph"/>
    <w:basedOn w:val="a"/>
    <w:uiPriority w:val="99"/>
    <w:unhideWhenUsed/>
    <w:qFormat/>
    <w:pPr>
      <w:ind w:firstLineChars="200" w:firstLine="420"/>
    </w:pPr>
  </w:style>
  <w:style w:type="paragraph" w:styleId="ac">
    <w:name w:val="Body Text"/>
    <w:basedOn w:val="a"/>
    <w:link w:val="Char6"/>
    <w:rsid w:val="002D0501"/>
    <w:pPr>
      <w:spacing w:after="0" w:line="0" w:lineRule="atLeast"/>
    </w:pPr>
    <w:rPr>
      <w:rFonts w:ascii="Calibri" w:eastAsia="小标宋" w:hAnsi="Calibri"/>
      <w:sz w:val="44"/>
      <w:szCs w:val="20"/>
    </w:rPr>
  </w:style>
  <w:style w:type="character" w:customStyle="1" w:styleId="Char6">
    <w:name w:val="正文文本 Char"/>
    <w:basedOn w:val="a0"/>
    <w:link w:val="ac"/>
    <w:rsid w:val="002D0501"/>
    <w:rPr>
      <w:rFonts w:ascii="Calibri" w:eastAsia="小标宋" w:hAnsi="Calibri"/>
      <w:kern w:val="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47BCD6-311F-4BB0-B0E5-9CB88698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33</Pages>
  <Words>1185</Words>
  <Characters>6756</Characters>
  <Application>Microsoft Office Word</Application>
  <DocSecurity>0</DocSecurity>
  <Lines>56</Lines>
  <Paragraphs>15</Paragraphs>
  <ScaleCrop>false</ScaleCrop>
  <Company>Microsoft</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进-PC</cp:lastModifiedBy>
  <cp:revision>38</cp:revision>
  <cp:lastPrinted>2019-09-27T00:42:00Z</cp:lastPrinted>
  <dcterms:created xsi:type="dcterms:W3CDTF">2019-09-26T01:09:00Z</dcterms:created>
  <dcterms:modified xsi:type="dcterms:W3CDTF">2019-11-21T07:34:00Z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